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7365D"/>
          <w:sz w:val="50"/>
        </w:rPr>
        <w:t>Data Universe Parcel Mapping</w:t>
      </w:r>
    </w:p>
    <w:p>
      <w:pPr>
        <w:spacing w:after="280"/>
      </w:pPr>
      <w:r>
        <w:rPr>
          <w:color w:val="596779"/>
          <w:sz w:val="24"/>
        </w:rPr>
        <w:t>User guide for data_universe_prop_id_candidates and data_universe_master_map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6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Database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banner17_master</w:t>
            </w:r>
          </w:p>
        </w:tc>
      </w:tr>
      <w:tr>
        <w:tc>
          <w:tcPr>
            <w:tcW w:type="dxa" w:w="27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Schema</w:t>
            </w:r>
          </w:p>
        </w:tc>
        <w:tc>
          <w:tcPr>
            <w:tcW w:type="dxa" w:w="66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propdb_staging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Generated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18 July 2026</w:t>
            </w:r>
          </w:p>
        </w:tc>
      </w:tr>
      <w:tr>
        <w:tc>
          <w:tcPr>
            <w:tcW w:type="dxa" w:w="27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Companion dictionary</w:t>
            </w:r>
          </w:p>
        </w:tc>
        <w:tc>
          <w:tcPr>
            <w:tcW w:type="dxa" w:w="66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data_universe_mapping_data_dictionary.xlsx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What primary means</w:t>
            </w:r>
          </w:p>
          <w:p>
            <w:pPr>
              <w:spacing w:after="0" w:line="276" w:lineRule="auto"/>
            </w:pPr>
            <w:r>
              <w:t>primary_prop_id is the preferred identifier for this project's downstream mapping. It is not a legal title declaration and is not an official NSW statement that another ID has expired.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 and scope</w:t>
      </w:r>
    </w:p>
    <w:p>
      <w:r>
        <w:t>The mapping layer gives downstream tables a controlled way to resolve multiple prop_ids that share a parcel-level address. It preserves source evidence, selects an address and primary ID only when the evidence is sufficiently clear, and routes ambiguous cases to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500"/>
        <w:gridCol w:w="4260"/>
      </w:tblGrid>
      <w:tr>
        <w:trPr>
          <w:tblHeader w:val="true"/>
        </w:trPr>
        <w:tc>
          <w:tcPr>
            <w:tcW w:type="dxa" w:w="360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Current object</w:t>
            </w:r>
          </w:p>
        </w:tc>
        <w:tc>
          <w:tcPr>
            <w:tcW w:type="dxa" w:w="150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426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data_universe_prop_id_candidates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3,848,493</w:t>
            </w:r>
          </w:p>
        </w:tc>
        <w:tc>
          <w:tcPr>
            <w:tcW w:type="dxa" w:w="4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Evidence and canonical address per prop_id</w:t>
            </w:r>
          </w:p>
        </w:tc>
      </w:tr>
      <w:tr>
        <w:tc>
          <w:tcPr>
            <w:tcW w:type="dxa" w:w="36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data_universe_master_map</w:t>
            </w:r>
          </w:p>
        </w:tc>
        <w:tc>
          <w:tcPr>
            <w:tcW w:type="dxa" w:w="15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3,848,493</w:t>
            </w:r>
          </w:p>
        </w:tc>
        <w:tc>
          <w:tcPr>
            <w:tcW w:type="dxa" w:w="42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Mapping decision per prop_id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data_universe_mapping_review</w:t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578,952</w:t>
            </w:r>
          </w:p>
        </w:tc>
        <w:tc>
          <w:tcPr>
            <w:tcW w:type="dxa" w:w="4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Unresolved and conflict review queue</w:t>
            </w:r>
          </w:p>
        </w:tc>
      </w:tr>
    </w:tbl>
    <w:p>
      <w:pPr>
        <w:spacing w:after="40"/>
      </w:pPr>
    </w:p>
    <w:p>
      <w:pPr>
        <w:pStyle w:val="Heading1"/>
      </w:pPr>
      <w:r>
        <w:t>2. How the objects fit together</w:t>
      </w:r>
    </w:p>
    <w:p>
      <w:pPr>
        <w:pStyle w:val="ListBullet"/>
        <w:spacing w:after="80" w:line="300" w:lineRule="auto"/>
        <w:ind w:left="540" w:hanging="271"/>
      </w:pPr>
      <w:r>
        <w:t>data_universe_prop_id_candidates is the evidence layer. Use it to understand address source, unit-address behavior, Land Valuation coverage, transaction dates and property-source history.</w:t>
      </w:r>
    </w:p>
    <w:p>
      <w:pPr>
        <w:pStyle w:val="ListBullet"/>
        <w:spacing w:after="80" w:line="300" w:lineRule="auto"/>
        <w:ind w:left="540" w:hanging="271"/>
      </w:pPr>
      <w:r>
        <w:t>data_universe_master_map is the decision layer. Use mapping_status to decide whether a row can be mapped, preserved as-is or reviewed.</w:t>
      </w:r>
    </w:p>
    <w:p>
      <w:pPr>
        <w:pStyle w:val="ListBullet"/>
        <w:spacing w:after="80" w:line="300" w:lineRule="auto"/>
        <w:ind w:left="540" w:hanging="271"/>
      </w:pPr>
      <w:r>
        <w:t>data_universe_mapping_review is the operational review queue. It contains blank, conflicted, ambiguous and recent-transaction cases.</w:t>
      </w:r>
    </w:p>
    <w:p>
      <w:pPr>
        <w:pStyle w:val="Heading1"/>
      </w:pPr>
      <w:r>
        <w:t>3. Canonical parcel address</w:t>
      </w:r>
    </w:p>
    <w:p>
      <w:r>
        <w:t>A prop_id represents a parcel or valuation entity, so unit-level addresses are converted to a parcel-level address. For example, the 92 property-source addresses associated with prop_id 4158520 collapse to 1 AVON ROAD PYMBLE.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46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Transformation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Remove a recognized leading unit prefix such as 1001/ or 2 /.</w:t>
            </w:r>
          </w:p>
        </w:tc>
      </w:tr>
      <w:tr>
        <w:tc>
          <w:tcPr>
            <w:tcW w:type="dxa" w:w="9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</w:t>
            </w:r>
          </w:p>
        </w:tc>
        <w:tc>
          <w:tcPr>
            <w:tcW w:type="dxa" w:w="84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Remove trailing NSW and postcode.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3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Uppercase and remove commas and full stops.</w:t>
            </w:r>
          </w:p>
        </w:tc>
      </w:tr>
      <w:tr>
        <w:tc>
          <w:tcPr>
            <w:tcW w:type="dxa" w:w="9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</w:t>
            </w:r>
          </w:p>
        </w:tc>
        <w:tc>
          <w:tcPr>
            <w:tcW w:type="dxa" w:w="84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Expand common suffixes, for example RD to ROAD and ST to STREET.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5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Collapse repeated whitespace.</w:t>
            </w:r>
          </w:p>
        </w:tc>
      </w:tr>
    </w:tbl>
    <w:p>
      <w:pPr>
        <w:spacing w:after="40"/>
      </w:pPr>
    </w:p>
    <w:p>
      <w:r>
        <w:t>Canonical source priority is: one unique Land Valuation address, then the normalized data_universe address, then one unique property_source base address. If none is usable, canonical_address is null.</w:t>
      </w:r>
    </w:p>
    <w:p>
      <w:r>
        <w:br w:type="page"/>
      </w:r>
    </w:p>
    <w:p>
      <w:pPr>
        <w:pStyle w:val="Heading1"/>
      </w:pPr>
      <w:r>
        <w:t>4. Primary prop_id decision logic</w:t>
      </w:r>
    </w:p>
    <w:p>
      <w:r>
        <w:t>The mapping logic groups rows by canonical_address and evaluates evidence in this order: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526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Exactly one non-conflicted Land Valuation prop_id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That ID becomes primary and maps to itself.</w:t>
            </w:r>
          </w:p>
        </w:tc>
      </w:tr>
      <w:tr>
        <w:tc>
          <w:tcPr>
            <w:tcW w:type="dxa" w:w="41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Another ID at that address has no recent-transaction conflict</w:t>
            </w:r>
          </w:p>
        </w:tc>
        <w:tc>
          <w:tcPr>
            <w:tcW w:type="dxa" w:w="52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It becomes obsolete_candidate and links to the valuation primary.</w:t>
            </w:r>
          </w:p>
        </w:tc>
      </w:tr>
      <w:tr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Competing sale is on/after the primary valuation basis date, or basis date is absent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No link; review_recent_transaction_after_valuation.</w:t>
            </w:r>
          </w:p>
        </w:tc>
      </w:tr>
      <w:tr>
        <w:tc>
          <w:tcPr>
            <w:tcW w:type="dxa" w:w="41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Multiple Land Valuation prop_ids at the address</w:t>
            </w:r>
          </w:p>
        </w:tc>
        <w:tc>
          <w:tcPr>
            <w:tcW w:type="dxa" w:w="52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No link; review_multiple_land_valuation_prop_ids.</w:t>
            </w:r>
          </w:p>
        </w:tc>
      </w:tr>
      <w:tr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Multiple IDs and no valuation primary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No link; review_no_land_valuation_primary.</w:t>
            </w:r>
          </w:p>
        </w:tc>
      </w:tr>
      <w:tr>
        <w:tc>
          <w:tcPr>
            <w:tcW w:type="dxa" w:w="41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Only one ID and no valuation primary</w:t>
            </w:r>
          </w:p>
        </w:tc>
        <w:tc>
          <w:tcPr>
            <w:tcW w:type="dxa" w:w="52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Self-link; primary_unverified.</w:t>
            </w:r>
          </w:p>
        </w:tc>
      </w:tr>
      <w:tr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Blank address or conflicting valuation addresses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No link; review.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Date evidence</w:t>
            </w:r>
          </w:p>
          <w:p>
            <w:pPr>
              <w:spacing w:after="0" w:line="276" w:lineRule="auto"/>
            </w:pPr>
            <w:r>
              <w:t>latest_sale_date is positive transaction evidence, but an old or missing sale does not prove inactivity. Land Valuation presence and its basis date are the strongest signals used by this implementation.</w:t>
            </w:r>
          </w:p>
        </w:tc>
      </w:tr>
    </w:tbl>
    <w:p>
      <w:pPr>
        <w:spacing w:after="40"/>
      </w:pPr>
    </w:p>
    <w:p>
      <w:pPr>
        <w:pStyle w:val="Heading1"/>
      </w:pPr>
      <w:r>
        <w:t>5. Mapping statuses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300"/>
        <w:gridCol w:w="3760"/>
      </w:tblGrid>
      <w:tr>
        <w:trPr>
          <w:tblHeader w:val="true"/>
        </w:trPr>
        <w:tc>
          <w:tcPr>
            <w:tcW w:type="dxa" w:w="430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mapping_status</w:t>
            </w:r>
          </w:p>
        </w:tc>
        <w:tc>
          <w:tcPr>
            <w:tcW w:type="dxa" w:w="130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376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2,630,101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Use primary_prop_id (self).</w:t>
            </w:r>
          </w:p>
        </w:tc>
      </w:tr>
      <w:tr>
        <w:tc>
          <w:tcPr>
            <w:tcW w:type="dxa" w:w="4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obsolete_candidate</w:t>
            </w:r>
          </w:p>
        </w:tc>
        <w:tc>
          <w:tcPr>
            <w:tcW w:type="dxa" w:w="1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543,960</w:t>
            </w:r>
          </w:p>
        </w:tc>
        <w:tc>
          <w:tcPr>
            <w:tcW w:type="dxa" w:w="37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May map to primary; inferred, not confirmed expiry.</w:t>
            </w:r>
          </w:p>
        </w:tc>
      </w:tr>
      <w:tr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primary_unverified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95,480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Singleton self-link without valuation confirmation.</w:t>
            </w:r>
          </w:p>
        </w:tc>
      </w:tr>
      <w:tr>
        <w:tc>
          <w:tcPr>
            <w:tcW w:type="dxa" w:w="4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blank_address</w:t>
            </w:r>
          </w:p>
        </w:tc>
        <w:tc>
          <w:tcPr>
            <w:tcW w:type="dxa" w:w="1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2,041</w:t>
            </w:r>
          </w:p>
        </w:tc>
        <w:tc>
          <w:tcPr>
            <w:tcW w:type="dxa" w:w="37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Review; no address-based mapping.</w:t>
            </w:r>
          </w:p>
        </w:tc>
      </w:tr>
      <w:tr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review_land_valuation_address_conflict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19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 conflicting valuation addresses.</w:t>
            </w:r>
          </w:p>
        </w:tc>
      </w:tr>
      <w:tr>
        <w:tc>
          <w:tcPr>
            <w:tcW w:type="dxa" w:w="4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review_multiple_land_valuation_prop_ids</w:t>
            </w:r>
          </w:p>
        </w:tc>
        <w:tc>
          <w:tcPr>
            <w:tcW w:type="dxa" w:w="1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147,838</w:t>
            </w:r>
          </w:p>
        </w:tc>
        <w:tc>
          <w:tcPr>
            <w:tcW w:type="dxa" w:w="37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 legitimate or ambiguous multi-parcel addresses.</w:t>
            </w:r>
          </w:p>
        </w:tc>
      </w:tr>
      <w:tr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review_no_land_valuation_primary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399,802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 multiple IDs without valuation authority.</w:t>
            </w:r>
          </w:p>
        </w:tc>
      </w:tr>
      <w:tr>
        <w:tc>
          <w:tcPr>
            <w:tcW w:type="dxa" w:w="4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review_recent_transaction_after_valuation</w:t>
            </w:r>
          </w:p>
        </w:tc>
        <w:tc>
          <w:tcPr>
            <w:tcW w:type="dxa" w:w="1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29,252</w:t>
            </w:r>
          </w:p>
        </w:tc>
        <w:tc>
          <w:tcPr>
            <w:tcW w:type="dxa" w:w="37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 transaction evidence before mapping.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</w:rPr>
              <w:t>Status overrides confidence</w:t>
            </w:r>
          </w:p>
          <w:p>
            <w:pPr>
              <w:spacing w:after="0" w:line="276" w:lineRule="auto"/>
            </w:pPr>
            <w:r>
              <w:t>Always route every review_* status to review. The current 19 Land Valuation address-conflict rows carry mixed confidence labels because of rule ordering, but none should be mapped automatically.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Worked examples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550"/>
        <w:gridCol w:w="1300"/>
        <w:gridCol w:w="2200"/>
        <w:gridCol w:w="2260"/>
      </w:tblGrid>
      <w:tr>
        <w:trPr>
          <w:tblHeader w:val="true"/>
        </w:trPr>
        <w:tc>
          <w:tcPr>
            <w:tcW w:type="dxa" w:w="105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prop_id</w:t>
            </w:r>
          </w:p>
        </w:tc>
        <w:tc>
          <w:tcPr>
            <w:tcW w:type="dxa" w:w="255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30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primary_prop_id</w:t>
            </w:r>
          </w:p>
        </w:tc>
        <w:tc>
          <w:tcPr>
            <w:tcW w:type="dxa" w:w="220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0"/>
            <w:shd w:fill="2F75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4158520</w:t>
            </w:r>
          </w:p>
        </w:tc>
        <w:tc>
          <w:tcPr>
            <w:tcW w:type="dxa" w:w="2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 AVON ROAD PYMBLE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4158520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Unique Land Valuation ID; valuation basis 2025-07-01.</w:t>
            </w:r>
          </w:p>
        </w:tc>
      </w:tr>
      <w:tr>
        <w:tc>
          <w:tcPr>
            <w:tcW w:type="dxa" w:w="105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684589</w:t>
            </w:r>
          </w:p>
        </w:tc>
        <w:tc>
          <w:tcPr>
            <w:tcW w:type="dxa" w:w="255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 AVON ROAD PYMBLE</w:t>
            </w:r>
          </w:p>
        </w:tc>
        <w:tc>
          <w:tcPr>
            <w:tcW w:type="dxa" w:w="1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4158520</w:t>
            </w:r>
          </w:p>
        </w:tc>
        <w:tc>
          <w:tcPr>
            <w:tcW w:type="dxa" w:w="22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obsolete_candidate</w:t>
            </w:r>
          </w:p>
        </w:tc>
        <w:tc>
          <w:tcPr>
            <w:tcW w:type="dxa" w:w="22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Sale-history only; latest sale 2014-12-02.</w:t>
            </w:r>
          </w:p>
        </w:tc>
      </w:tr>
      <w:tr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4158689</w:t>
            </w:r>
          </w:p>
        </w:tc>
        <w:tc>
          <w:tcPr>
            <w:tcW w:type="dxa" w:w="2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1 AVON ROAD PYMBLE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4158520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obsolete_candidate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Sale-history only; latest sale 2018-10-16.</w:t>
            </w:r>
          </w:p>
        </w:tc>
      </w:tr>
      <w:tr>
        <w:tc>
          <w:tcPr>
            <w:tcW w:type="dxa" w:w="105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4139561</w:t>
            </w:r>
          </w:p>
        </w:tc>
        <w:tc>
          <w:tcPr>
            <w:tcW w:type="dxa" w:w="255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6A ATKINSON STREET LIVERPOOL</w:t>
            </w:r>
          </w:p>
        </w:tc>
        <w:tc>
          <w:tcPr>
            <w:tcW w:type="dxa" w:w="1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4139561</w:t>
            </w:r>
          </w:p>
        </w:tc>
        <w:tc>
          <w:tcPr>
            <w:tcW w:type="dxa" w:w="22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primary</w:t>
            </w:r>
          </w:p>
        </w:tc>
        <w:tc>
          <w:tcPr>
            <w:tcW w:type="dxa" w:w="22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Unique Land Valuation ID.</w:t>
            </w:r>
          </w:p>
        </w:tc>
      </w:tr>
      <w:tr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4139568</w:t>
            </w:r>
          </w:p>
        </w:tc>
        <w:tc>
          <w:tcPr>
            <w:tcW w:type="dxa" w:w="2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6A ATKINSON STREET LIVERPOOL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4139561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obsolete_candidate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Latest sale 2023-05-24, before 2025 valuation basis.</w:t>
            </w:r>
          </w:p>
        </w:tc>
      </w:tr>
      <w:tr>
        <w:tc>
          <w:tcPr>
            <w:tcW w:type="dxa" w:w="105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6041306</w:t>
            </w:r>
          </w:p>
        </w:tc>
        <w:tc>
          <w:tcPr>
            <w:tcW w:type="dxa" w:w="255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30 YOUNG STREET HEDDON GRETA</w:t>
            </w:r>
          </w:p>
        </w:tc>
        <w:tc>
          <w:tcPr>
            <w:tcW w:type="dxa" w:w="13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null</w:t>
            </w:r>
          </w:p>
        </w:tc>
        <w:tc>
          <w:tcPr>
            <w:tcW w:type="dxa" w:w="220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review_recent_transaction_after_valuation</w:t>
            </w:r>
          </w:p>
        </w:tc>
        <w:tc>
          <w:tcPr>
            <w:tcW w:type="dxa" w:w="2260"/>
            <w:vAlign w:val="top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1F2937"/>
                <w:sz w:val="18"/>
              </w:rPr>
              <w:t>Sale dated 2026-07-01; no safe automatic link.</w:t>
            </w:r>
          </w:p>
        </w:tc>
      </w:tr>
    </w:tbl>
    <w:p>
      <w:pPr>
        <w:spacing w:after="40"/>
      </w:pPr>
    </w:p>
    <w:p>
      <w:pPr>
        <w:pStyle w:val="Heading1"/>
      </w:pPr>
      <w:r>
        <w:t>7. Known limitations and review risks</w:t>
      </w:r>
    </w:p>
    <w:p>
      <w:pPr>
        <w:pStyle w:val="ListBullet"/>
        <w:spacing w:after="80" w:line="300" w:lineRule="auto"/>
        <w:ind w:left="540" w:hanging="271"/>
      </w:pPr>
      <w:r>
        <w:t>Locality-only values such as MOREE, CONDOBOLIN and BROKEN HILL are incomplete addresses. They can group unrelated parcels and should not be used for automatic mapping without an additional completeness rule.</w:t>
      </w:r>
    </w:p>
    <w:p>
      <w:pPr>
        <w:pStyle w:val="ListBullet"/>
        <w:spacing w:after="80" w:line="300" w:lineRule="auto"/>
        <w:ind w:left="540" w:hanging="271"/>
      </w:pPr>
      <w:r>
        <w:t>Unit detection recognizes a leading slash pattern. Unit formats written without a slash may remain in the address and require additional parsing.</w:t>
      </w:r>
    </w:p>
    <w:p>
      <w:pPr>
        <w:pStyle w:val="ListBullet"/>
        <w:spacing w:after="80" w:line="300" w:lineRule="auto"/>
        <w:ind w:left="540" w:hanging="271"/>
      </w:pPr>
      <w:r>
        <w:t>One textual address may legitimately represent several parcels, strata lots, multi-lot holdings or corner-site addresses.</w:t>
      </w:r>
    </w:p>
    <w:p>
      <w:pPr>
        <w:pStyle w:val="ListBullet"/>
        <w:spacing w:after="80" w:line="300" w:lineRule="auto"/>
        <w:ind w:left="540" w:hanging="271"/>
      </w:pPr>
      <w:r>
        <w:t>Land Valuation prop_ids and addresses are authoritative evidence for this model, but the mapping does not replace title, cadastral or legal validation.</w:t>
      </w:r>
    </w:p>
    <w:p>
      <w:pPr>
        <w:pStyle w:val="ListBullet"/>
        <w:spacing w:after="80" w:line="300" w:lineRule="auto"/>
        <w:ind w:left="540" w:hanging="271"/>
      </w:pPr>
      <w:r>
        <w:t>obsolete_candidate means a strong inferred alias. It must not be reported externally as confirmed expired unless another authoritative source confirms that status.</w:t>
      </w:r>
    </w:p>
    <w:p>
      <w:pPr>
        <w:pStyle w:val="Heading1"/>
      </w:pPr>
      <w:r>
        <w:t>8. Recommended downstream use</w:t>
      </w:r>
    </w:p>
    <w:p>
      <w:r>
        <w:t>For automated joins, use primary and obsolete_candidate only. Preserve the original ID for all unresolved rows so review cases are not silently discarded.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sz w:val="17"/>
              </w:rPr>
              <w:t>SELECT</w:t>
              <w:br/>
              <w:t xml:space="preserve">    prop_id,</w:t>
              <w:br/>
              <w:t xml:space="preserve">    CASE</w:t>
              <w:br/>
              <w:t xml:space="preserve">        WHEN mapping_status IN ('primary', 'obsolete_candidate')</w:t>
              <w:br/>
              <w:t xml:space="preserve">            THEN primary_prop_id</w:t>
              <w:br/>
              <w:t xml:space="preserve">        ELSE prop_id</w:t>
              <w:br/>
              <w:t xml:space="preserve">    END AS usable_prop_id,</w:t>
              <w:br/>
              <w:t xml:space="preserve">    mapping_status</w:t>
              <w:br/>
              <w:t>FROM propdb_staging.data_universe_master_map;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9. Common SQL queries</w:t>
      </w:r>
    </w:p>
    <w:p>
      <w:pPr>
        <w:pStyle w:val="Heading2"/>
      </w:pPr>
      <w:r>
        <w:t>Look up one prop_id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sz w:val="17"/>
              </w:rPr>
              <w:t>SELECT prop_id, canonical_address, primary_prop_id, mapping_status</w:t>
              <w:br/>
              <w:t>FROM propdb_staging.data_universe_master_map</w:t>
              <w:br/>
              <w:t>WHERE prop_id = 684589;</w:t>
            </w:r>
          </w:p>
        </w:tc>
      </w:tr>
    </w:tbl>
    <w:p>
      <w:pPr>
        <w:spacing w:after="60"/>
      </w:pPr>
    </w:p>
    <w:p>
      <w:pPr>
        <w:pStyle w:val="Heading2"/>
      </w:pPr>
      <w:r>
        <w:t>Inspect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sz w:val="17"/>
              </w:rPr>
              <w:t>SELECT m.*, c.original_address, c.canonical_address_source,</w:t>
              <w:br/>
              <w:t xml:space="preserve">       c.valuation_tables, c.latest_property_update</w:t>
              <w:br/>
              <w:t>FROM propdb_staging.data_universe_master_map m</w:t>
              <w:br/>
              <w:t>JOIN propdb_staging.data_universe_prop_id_candidates c USING (prop_id)</w:t>
              <w:br/>
              <w:t>WHERE m.prop_id = 4158520;</w:t>
            </w:r>
          </w:p>
        </w:tc>
      </w:tr>
    </w:tbl>
    <w:p>
      <w:pPr>
        <w:spacing w:after="60"/>
      </w:pPr>
    </w:p>
    <w:p>
      <w:pPr>
        <w:pStyle w:val="Heading2"/>
      </w:pPr>
      <w:r>
        <w:t>Review unresolved mappings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sz w:val="17"/>
              </w:rPr>
              <w:t>SELECT *</w:t>
              <w:br/>
              <w:t>FROM propdb_staging.data_universe_mapping_review</w:t>
              <w:br/>
              <w:t>ORDER BY mapping_status, canonical_address, prop_id;</w:t>
            </w:r>
          </w:p>
        </w:tc>
      </w:tr>
    </w:tbl>
    <w:p>
      <w:pPr>
        <w:spacing w:after="60"/>
      </w:pPr>
    </w:p>
    <w:p>
      <w:pPr>
        <w:pStyle w:val="Heading2"/>
      </w:pPr>
      <w:r>
        <w:t>Find all aliases for a primary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sz w:val="17"/>
              </w:rPr>
              <w:t>SELECT prop_id, mapping_status, latest_sale_date</w:t>
              <w:br/>
              <w:t>FROM propdb_staging.data_universe_master_map</w:t>
              <w:br/>
              <w:t>WHERE primary_prop_id = 4158520</w:t>
              <w:br/>
              <w:t>ORDER BY prop_id;</w:t>
            </w:r>
          </w:p>
        </w:tc>
      </w:tr>
    </w:tbl>
    <w:p>
      <w:pPr>
        <w:spacing w:after="60"/>
      </w:pPr>
    </w:p>
    <w:p>
      <w:pPr>
        <w:pStyle w:val="Heading1"/>
      </w:pPr>
      <w:r>
        <w:t>10. Refresh and governance</w:t>
      </w:r>
    </w:p>
    <w:p>
      <w:r>
        <w:t>The tables were built from data_universe, the three Land Valuation tables, nsw_property_sales_all_history and nsw_property_source. The build implementation is stored in sql/build_data_universe_mapping.sql and tools/build_data_universe_mapping.py in the six_nsw_property_download project.</w:t>
      </w:r>
    </w:p>
    <w:p>
      <w:pPr>
        <w:pStyle w:val="ListBullet"/>
        <w:spacing w:after="80" w:line="300" w:lineRule="auto"/>
        <w:ind w:left="540" w:hanging="271"/>
      </w:pPr>
      <w:r>
        <w:t>Record each rebuild date and source-table snapshot date.</w:t>
      </w:r>
    </w:p>
    <w:p>
      <w:pPr>
        <w:pStyle w:val="ListBullet"/>
        <w:spacing w:after="80" w:line="300" w:lineRule="auto"/>
        <w:ind w:left="540" w:hanging="271"/>
      </w:pPr>
      <w:r>
        <w:t>Compare status counts before replacing a reviewed mapping snapshot.</w:t>
      </w:r>
    </w:p>
    <w:p>
      <w:pPr>
        <w:pStyle w:val="ListBullet"/>
        <w:spacing w:after="80" w:line="300" w:lineRule="auto"/>
        <w:ind w:left="540" w:hanging="271"/>
      </w:pPr>
      <w:r>
        <w:t>Resolve or explicitly accept locality-only and multi-valuation-address exceptions before automated production use.</w:t>
      </w:r>
    </w:p>
    <w:p>
      <w:pPr>
        <w:pStyle w:val="ListBullet"/>
        <w:spacing w:after="80" w:line="300" w:lineRule="auto"/>
        <w:ind w:left="540" w:hanging="271"/>
      </w:pPr>
      <w:r>
        <w:t>Keep manual overrides in a separate governed table rather than editing generated rows in place.</w:t>
      </w:r>
    </w:p>
    <w:p>
      <w:pPr>
        <w:pStyle w:val="Heading1"/>
      </w:pPr>
      <w:r>
        <w:t>11. Companion data dictionary</w:t>
      </w:r>
    </w:p>
    <w:p>
      <w:r>
        <w:t>The companion Excel workbook contains the complete field-level definitions, allowed categorical values, current counts, indexes, mapping rules, worked examples and executable SQL snippets.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779"/>
        <w:sz w:val="17"/>
      </w:rPr>
      <w:t>Generated 18 July 2026 | propdb_staging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color w:val="596779"/>
        <w:sz w:val="18"/>
      </w:rPr>
      <w:t>NSW Data Universe Mapping |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