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F199" w14:textId="77777777" w:rsidR="009B4839" w:rsidRPr="00B55108" w:rsidRDefault="003C6254">
      <w:pPr>
        <w:rPr>
          <w:b/>
          <w:sz w:val="24"/>
          <w:szCs w:val="24"/>
        </w:rPr>
      </w:pPr>
      <w:r w:rsidRPr="00B55108">
        <w:rPr>
          <w:b/>
          <w:sz w:val="24"/>
          <w:szCs w:val="24"/>
        </w:rPr>
        <w:t>WHAT IS</w:t>
      </w:r>
      <w:r>
        <w:rPr>
          <w:b/>
          <w:sz w:val="24"/>
          <w:szCs w:val="24"/>
        </w:rPr>
        <w:t xml:space="preserve"> VISION </w:t>
      </w:r>
      <w:r w:rsidRPr="00B55108">
        <w:rPr>
          <w:b/>
          <w:sz w:val="24"/>
          <w:szCs w:val="24"/>
        </w:rPr>
        <w:t>25 BY 2025?</w:t>
      </w:r>
    </w:p>
    <w:p w14:paraId="2ECF71A5" w14:textId="77777777" w:rsidR="00595D4A" w:rsidRDefault="00595D4A" w:rsidP="00595D4A">
      <w:pPr>
        <w:jc w:val="both"/>
      </w:pPr>
      <w:r w:rsidRPr="00595D4A">
        <w:t>Vision 25% by 2025 is long term social and economic partnership between: Member States, the Regional Private Sector (CARICOM Private Sector Organization-CPSO), Regional Organizations, Producer Groups, Development Partners and Civil Society which outlines actions and critical areas of intervention to tackle the Region’s rising food import bill, improve intra-regional trade, and create wealth and economic opportunity for every CARICOM Member State.</w:t>
      </w:r>
    </w:p>
    <w:p w14:paraId="67479278" w14:textId="77777777" w:rsidR="00595D4A" w:rsidRDefault="00595D4A" w:rsidP="00595D4A">
      <w:pPr>
        <w:jc w:val="both"/>
      </w:pPr>
      <w:r>
        <w:t>T</w:t>
      </w:r>
      <w:r w:rsidRPr="00595D4A">
        <w:t>he Special Ministerial Taskforce on Food Produ</w:t>
      </w:r>
      <w:r w:rsidR="00DA1039">
        <w:t xml:space="preserve">ction and Food Security (MTF) </w:t>
      </w:r>
      <w:r w:rsidR="00DA1039" w:rsidRPr="00595D4A">
        <w:t>guides</w:t>
      </w:r>
      <w:r w:rsidR="00DA1039">
        <w:t xml:space="preserve"> </w:t>
      </w:r>
      <w:r w:rsidR="00DA1039" w:rsidRPr="00595D4A">
        <w:t>the</w:t>
      </w:r>
      <w:r w:rsidRPr="00595D4A">
        <w:t xml:space="preserve"> implementation of Vision 25 by 2025.</w:t>
      </w:r>
      <w:r>
        <w:t xml:space="preserve"> </w:t>
      </w:r>
      <w:r w:rsidRPr="00595D4A">
        <w:t>The MTF is made up of Ministers of Agriculture from throughout the region who meet monthly to provide guidance on  the transformation of the agri-food system, to one that is resilient, provides attractive and sustainable wealth creation opportunities for potential investors, and guarantees food and nutrition security for the Member States.</w:t>
      </w:r>
    </w:p>
    <w:p w14:paraId="3FCAE308" w14:textId="77777777" w:rsidR="0051335B" w:rsidRPr="00B55108" w:rsidRDefault="00B55108" w:rsidP="0051335B">
      <w:pPr>
        <w:rPr>
          <w:b/>
          <w:sz w:val="24"/>
          <w:szCs w:val="24"/>
        </w:rPr>
      </w:pPr>
      <w:r w:rsidRPr="00B55108">
        <w:rPr>
          <w:b/>
          <w:sz w:val="24"/>
          <w:szCs w:val="24"/>
        </w:rPr>
        <w:t>FOCUS AREAS UNDER THE 25 BY 2025?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00"/>
        <w:gridCol w:w="4920"/>
        <w:gridCol w:w="4030"/>
      </w:tblGrid>
      <w:tr w:rsidR="0051335B" w:rsidRPr="0051335B" w14:paraId="2062C308" w14:textId="77777777" w:rsidTr="0051335B">
        <w:trPr>
          <w:trHeight w:val="189"/>
        </w:trPr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7470C9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F17C8C7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 xml:space="preserve">Objective </w:t>
            </w:r>
          </w:p>
        </w:tc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E7E5A81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 xml:space="preserve">Priority Action </w:t>
            </w:r>
          </w:p>
        </w:tc>
      </w:tr>
      <w:tr w:rsidR="0051335B" w:rsidRPr="0051335B" w14:paraId="69290787" w14:textId="77777777" w:rsidTr="0051335B">
        <w:trPr>
          <w:trHeight w:val="450"/>
        </w:trPr>
        <w:tc>
          <w:tcPr>
            <w:tcW w:w="21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7E0DE47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8BC1180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sz w:val="20"/>
                <w:szCs w:val="20"/>
              </w:rPr>
              <w:t xml:space="preserve">Removing the barriers to access of  markets being faced by the sector </w:t>
            </w:r>
          </w:p>
        </w:tc>
        <w:tc>
          <w:tcPr>
            <w:tcW w:w="215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1F82ED2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>Policy Development and Implementation to facilitate agri-food trade</w:t>
            </w:r>
          </w:p>
        </w:tc>
      </w:tr>
      <w:tr w:rsidR="0051335B" w:rsidRPr="0051335B" w14:paraId="74B27DAF" w14:textId="77777777" w:rsidTr="0051335B">
        <w:trPr>
          <w:trHeight w:val="315"/>
        </w:trPr>
        <w:tc>
          <w:tcPr>
            <w:tcW w:w="21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12ACB1" w14:textId="77777777" w:rsidR="0051335B" w:rsidRPr="0051335B" w:rsidRDefault="0051335B" w:rsidP="0051335B">
            <w:pPr>
              <w:rPr>
                <w:sz w:val="20"/>
                <w:szCs w:val="20"/>
              </w:rPr>
            </w:pPr>
          </w:p>
        </w:tc>
        <w:tc>
          <w:tcPr>
            <w:tcW w:w="2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77FCA8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sz w:val="20"/>
                <w:szCs w:val="20"/>
              </w:rPr>
              <w:t>Securing greater private sector participation</w:t>
            </w:r>
          </w:p>
        </w:tc>
        <w:tc>
          <w:tcPr>
            <w:tcW w:w="215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4AAA0" w14:textId="77777777" w:rsidR="0051335B" w:rsidRPr="0051335B" w:rsidRDefault="0051335B" w:rsidP="0051335B">
            <w:pPr>
              <w:rPr>
                <w:sz w:val="20"/>
                <w:szCs w:val="20"/>
              </w:rPr>
            </w:pPr>
          </w:p>
        </w:tc>
      </w:tr>
      <w:tr w:rsidR="0051335B" w:rsidRPr="0051335B" w14:paraId="1BD63E86" w14:textId="77777777" w:rsidTr="0051335B">
        <w:trPr>
          <w:trHeight w:val="567"/>
        </w:trPr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E8CA04D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3EEA261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sz w:val="20"/>
                <w:szCs w:val="20"/>
              </w:rPr>
              <w:t>Provision of alternate financing and insurance for the sector</w:t>
            </w:r>
          </w:p>
        </w:tc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4D85F8C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>De-risking of the Agricultural Sector</w:t>
            </w:r>
          </w:p>
        </w:tc>
      </w:tr>
      <w:tr w:rsidR="0051335B" w:rsidRPr="0051335B" w14:paraId="7C6040D9" w14:textId="77777777" w:rsidTr="0051335B">
        <w:trPr>
          <w:trHeight w:val="630"/>
        </w:trPr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5296B28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1009428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sz w:val="20"/>
                <w:szCs w:val="20"/>
              </w:rPr>
              <w:t>increase availability of transportation services to MS for the transportation of agri-food products</w:t>
            </w:r>
          </w:p>
        </w:tc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2E4085F8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>Improve the Transportation and Logistics throughout the region</w:t>
            </w:r>
          </w:p>
        </w:tc>
      </w:tr>
      <w:tr w:rsidR="0051335B" w:rsidRPr="0051335B" w14:paraId="56B12BB5" w14:textId="77777777" w:rsidTr="0051335B">
        <w:trPr>
          <w:trHeight w:val="1126"/>
        </w:trPr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13A4C929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3C5D4FB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sz w:val="20"/>
                <w:szCs w:val="20"/>
              </w:rPr>
              <w:t>Greater Cross Border investment, human resource development and adaptation/introduction of climate smart production mechanisms</w:t>
            </w:r>
          </w:p>
        </w:tc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478865AB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 xml:space="preserve">Investment in Production, Research, development, climate smart adaptation </w:t>
            </w:r>
          </w:p>
        </w:tc>
      </w:tr>
      <w:tr w:rsidR="0051335B" w:rsidRPr="0051335B" w14:paraId="5B49C539" w14:textId="77777777" w:rsidTr="0051335B">
        <w:trPr>
          <w:trHeight w:val="1017"/>
        </w:trPr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65E6AFBE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5DF108ED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sz w:val="20"/>
                <w:szCs w:val="20"/>
              </w:rPr>
              <w:t>Implementation of an E-Agriculture Strategy</w:t>
            </w:r>
          </w:p>
        </w:tc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02F06470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 xml:space="preserve">The digitization of the Region’s Agricultural Sector </w:t>
            </w:r>
          </w:p>
        </w:tc>
      </w:tr>
      <w:tr w:rsidR="0051335B" w:rsidRPr="0051335B" w14:paraId="5B4E4F8C" w14:textId="77777777" w:rsidTr="0051335B">
        <w:trPr>
          <w:trHeight w:val="1017"/>
        </w:trPr>
        <w:tc>
          <w:tcPr>
            <w:tcW w:w="2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81FFFD0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26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3EA5B2D1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sz w:val="20"/>
                <w:szCs w:val="20"/>
              </w:rPr>
              <w:t>Revisiting Rules of Origin and revising CET and Suspensions Regime</w:t>
            </w:r>
          </w:p>
        </w:tc>
        <w:tc>
          <w:tcPr>
            <w:tcW w:w="215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" w:type="dxa"/>
              <w:left w:w="8" w:type="dxa"/>
              <w:bottom w:w="0" w:type="dxa"/>
              <w:right w:w="8" w:type="dxa"/>
            </w:tcMar>
            <w:vAlign w:val="center"/>
            <w:hideMark/>
          </w:tcPr>
          <w:p w14:paraId="75C9D71C" w14:textId="77777777" w:rsidR="0051335B" w:rsidRPr="0051335B" w:rsidRDefault="0051335B" w:rsidP="0051335B">
            <w:pPr>
              <w:rPr>
                <w:sz w:val="20"/>
                <w:szCs w:val="20"/>
              </w:rPr>
            </w:pPr>
            <w:r w:rsidRPr="0051335B">
              <w:rPr>
                <w:b/>
                <w:bCs/>
                <w:sz w:val="20"/>
                <w:szCs w:val="20"/>
              </w:rPr>
              <w:t xml:space="preserve">Improving trade and private sector investment/involvement in the sector </w:t>
            </w:r>
          </w:p>
        </w:tc>
      </w:tr>
    </w:tbl>
    <w:p w14:paraId="664E89CB" w14:textId="77777777" w:rsidR="0051335B" w:rsidRDefault="0051335B" w:rsidP="0051335B"/>
    <w:p w14:paraId="6E092C13" w14:textId="77777777" w:rsidR="0051335B" w:rsidRPr="00B55108" w:rsidRDefault="00B55108" w:rsidP="0051335B">
      <w:pPr>
        <w:rPr>
          <w:b/>
          <w:sz w:val="24"/>
          <w:szCs w:val="24"/>
        </w:rPr>
      </w:pPr>
      <w:r w:rsidRPr="00B55108">
        <w:rPr>
          <w:b/>
          <w:sz w:val="24"/>
          <w:szCs w:val="24"/>
        </w:rPr>
        <w:t>WHAT ARE THE PRIORITY AREAS UNDER THE 2025?</w:t>
      </w:r>
    </w:p>
    <w:p w14:paraId="70ECD45A" w14:textId="77777777" w:rsidR="0051335B" w:rsidRPr="0051335B" w:rsidRDefault="0051335B" w:rsidP="0051335B">
      <w:pPr>
        <w:rPr>
          <w:b/>
        </w:rPr>
      </w:pPr>
      <w:r w:rsidRPr="0051335B">
        <w:rPr>
          <w:b/>
        </w:rPr>
        <w:t xml:space="preserve">Agriculture </w:t>
      </w:r>
      <w:r w:rsidR="0024726B" w:rsidRPr="0051335B">
        <w:rPr>
          <w:b/>
        </w:rPr>
        <w:t xml:space="preserve">Financing and </w:t>
      </w:r>
      <w:r w:rsidRPr="0051335B">
        <w:rPr>
          <w:b/>
        </w:rPr>
        <w:t xml:space="preserve">Insurance </w:t>
      </w:r>
    </w:p>
    <w:p w14:paraId="489B7FD9" w14:textId="77777777" w:rsidR="0024726B" w:rsidRDefault="0024726B" w:rsidP="0024726B">
      <w:pPr>
        <w:pStyle w:val="ListParagraph"/>
        <w:numPr>
          <w:ilvl w:val="0"/>
          <w:numId w:val="1"/>
        </w:numPr>
      </w:pPr>
      <w:r w:rsidRPr="0024726B">
        <w:t>Creation of an Investor friendly environment</w:t>
      </w:r>
    </w:p>
    <w:p w14:paraId="10848B1E" w14:textId="77777777" w:rsidR="0051335B" w:rsidRDefault="0051335B" w:rsidP="0051335B">
      <w:pPr>
        <w:pStyle w:val="ListParagraph"/>
        <w:numPr>
          <w:ilvl w:val="0"/>
          <w:numId w:val="1"/>
        </w:numPr>
      </w:pPr>
      <w:r w:rsidRPr="0051335B">
        <w:t>Regional Agricultural Insurance Product Implementation</w:t>
      </w:r>
    </w:p>
    <w:p w14:paraId="47D9A4DC" w14:textId="77777777" w:rsidR="00CE6F0E" w:rsidRDefault="00CE6F0E" w:rsidP="0051335B">
      <w:pPr>
        <w:pStyle w:val="ListParagraph"/>
        <w:numPr>
          <w:ilvl w:val="0"/>
          <w:numId w:val="1"/>
        </w:numPr>
      </w:pPr>
      <w:r>
        <w:t>Exploration of Alternative Financing Mechanisms</w:t>
      </w:r>
    </w:p>
    <w:p w14:paraId="03967726" w14:textId="77777777" w:rsidR="0051335B" w:rsidRDefault="0051335B" w:rsidP="0051335B">
      <w:pPr>
        <w:pStyle w:val="ListParagraph"/>
        <w:numPr>
          <w:ilvl w:val="0"/>
          <w:numId w:val="1"/>
        </w:numPr>
      </w:pPr>
      <w:r w:rsidRPr="0051335B">
        <w:t xml:space="preserve">Establishment of the Regional Sustainable Finance Facility </w:t>
      </w:r>
    </w:p>
    <w:p w14:paraId="3E659D82" w14:textId="77777777" w:rsidR="0051335B" w:rsidRDefault="0051335B" w:rsidP="0051335B">
      <w:pPr>
        <w:pStyle w:val="ListParagraph"/>
        <w:numPr>
          <w:ilvl w:val="0"/>
          <w:numId w:val="1"/>
        </w:numPr>
      </w:pPr>
      <w:r w:rsidRPr="0051335B">
        <w:lastRenderedPageBreak/>
        <w:t>Promotion and attraction of cross-border investments in the sector</w:t>
      </w:r>
    </w:p>
    <w:p w14:paraId="5B58609D" w14:textId="77777777" w:rsidR="0024726B" w:rsidRDefault="0024726B" w:rsidP="0024726B">
      <w:pPr>
        <w:pStyle w:val="ListParagraph"/>
        <w:numPr>
          <w:ilvl w:val="0"/>
          <w:numId w:val="1"/>
        </w:numPr>
      </w:pPr>
      <w:r>
        <w:t>Private Sector Investment</w:t>
      </w:r>
    </w:p>
    <w:p w14:paraId="687F3F73" w14:textId="77777777" w:rsidR="0024726B" w:rsidRDefault="0024726B" w:rsidP="0024726B">
      <w:pPr>
        <w:pStyle w:val="ListParagraph"/>
        <w:numPr>
          <w:ilvl w:val="0"/>
          <w:numId w:val="1"/>
        </w:numPr>
      </w:pPr>
      <w:r>
        <w:t>Development of support Production Corridors</w:t>
      </w:r>
    </w:p>
    <w:p w14:paraId="74B20580" w14:textId="77777777" w:rsidR="0024726B" w:rsidRDefault="0024726B" w:rsidP="0024726B">
      <w:pPr>
        <w:pStyle w:val="ListParagraph"/>
        <w:numPr>
          <w:ilvl w:val="0"/>
          <w:numId w:val="1"/>
        </w:numPr>
      </w:pPr>
      <w:r>
        <w:t>Development of measures to promote the de-risking of the sector</w:t>
      </w:r>
    </w:p>
    <w:p w14:paraId="6C8A00D3" w14:textId="77777777" w:rsidR="0024726B" w:rsidRDefault="0024726B" w:rsidP="0024726B">
      <w:pPr>
        <w:pStyle w:val="ListParagraph"/>
        <w:numPr>
          <w:ilvl w:val="0"/>
          <w:numId w:val="1"/>
        </w:numPr>
      </w:pPr>
      <w:r>
        <w:t xml:space="preserve">Greater Business to Business  Agreements </w:t>
      </w:r>
    </w:p>
    <w:p w14:paraId="054E8C47" w14:textId="77777777" w:rsidR="0024726B" w:rsidRDefault="0024726B" w:rsidP="0024726B">
      <w:pPr>
        <w:pStyle w:val="ListParagraph"/>
        <w:numPr>
          <w:ilvl w:val="0"/>
          <w:numId w:val="1"/>
        </w:numPr>
      </w:pPr>
      <w:r>
        <w:t>Improvements in transportation and logistics</w:t>
      </w:r>
    </w:p>
    <w:p w14:paraId="31682961" w14:textId="77777777" w:rsidR="0051335B" w:rsidRDefault="0051335B"/>
    <w:p w14:paraId="040840D0" w14:textId="77777777" w:rsidR="0051335B" w:rsidRPr="0051335B" w:rsidRDefault="0051335B" w:rsidP="0051335B">
      <w:pPr>
        <w:rPr>
          <w:b/>
        </w:rPr>
      </w:pPr>
      <w:r w:rsidRPr="0051335B">
        <w:rPr>
          <w:b/>
        </w:rPr>
        <w:t>Policy Implementation</w:t>
      </w:r>
    </w:p>
    <w:p w14:paraId="4BAB257B" w14:textId="77777777" w:rsidR="0024726B" w:rsidRDefault="0024726B" w:rsidP="0024726B">
      <w:pPr>
        <w:pStyle w:val="ListParagraph"/>
        <w:numPr>
          <w:ilvl w:val="0"/>
          <w:numId w:val="2"/>
        </w:numPr>
      </w:pPr>
      <w:r>
        <w:t xml:space="preserve">Food and Nutrition Security </w:t>
      </w:r>
    </w:p>
    <w:p w14:paraId="7FC9C92E" w14:textId="77777777" w:rsidR="0051335B" w:rsidRDefault="0051335B" w:rsidP="00CE6F0E">
      <w:pPr>
        <w:pStyle w:val="ListParagraph"/>
        <w:numPr>
          <w:ilvl w:val="0"/>
          <w:numId w:val="2"/>
        </w:numPr>
      </w:pPr>
      <w:r w:rsidRPr="0051335B">
        <w:t xml:space="preserve">Implementation and operationalization of </w:t>
      </w:r>
      <w:r w:rsidR="00CE6F0E" w:rsidRPr="00CE6F0E">
        <w:t>Sanitary and Phytosanitary (SPS)</w:t>
      </w:r>
      <w:r w:rsidRPr="0051335B">
        <w:t xml:space="preserve"> related policies</w:t>
      </w:r>
    </w:p>
    <w:p w14:paraId="7B37E052" w14:textId="77777777" w:rsidR="0051335B" w:rsidRPr="0051335B" w:rsidRDefault="0051335B" w:rsidP="0051335B">
      <w:pPr>
        <w:pStyle w:val="ListParagraph"/>
        <w:numPr>
          <w:ilvl w:val="0"/>
          <w:numId w:val="2"/>
        </w:numPr>
      </w:pPr>
      <w:r>
        <w:t xml:space="preserve">Increased Production and Climate Smart Agriculture </w:t>
      </w:r>
    </w:p>
    <w:p w14:paraId="29A5984F" w14:textId="77777777" w:rsidR="0051335B" w:rsidRDefault="0051335B" w:rsidP="0051335B">
      <w:pPr>
        <w:pStyle w:val="ListParagraph"/>
        <w:numPr>
          <w:ilvl w:val="0"/>
          <w:numId w:val="2"/>
        </w:numPr>
      </w:pPr>
      <w:r w:rsidRPr="0051335B">
        <w:t>Policy improvements to enhance regional transportation and logistics for the agriculture sector</w:t>
      </w:r>
    </w:p>
    <w:p w14:paraId="50D0E58A" w14:textId="77777777" w:rsidR="0051335B" w:rsidRDefault="0051335B" w:rsidP="0051335B">
      <w:pPr>
        <w:pStyle w:val="ListParagraph"/>
        <w:numPr>
          <w:ilvl w:val="0"/>
          <w:numId w:val="2"/>
        </w:numPr>
      </w:pPr>
      <w:r>
        <w:t xml:space="preserve">Legislation </w:t>
      </w:r>
    </w:p>
    <w:p w14:paraId="7902CCF9" w14:textId="77777777" w:rsidR="0051335B" w:rsidRPr="0051335B" w:rsidRDefault="0051335B" w:rsidP="0051335B">
      <w:pPr>
        <w:rPr>
          <w:b/>
        </w:rPr>
      </w:pPr>
      <w:r w:rsidRPr="0051335B">
        <w:rPr>
          <w:b/>
        </w:rPr>
        <w:t xml:space="preserve">Regional Trade and E-Agriculture </w:t>
      </w:r>
    </w:p>
    <w:p w14:paraId="7B7E7798" w14:textId="77777777" w:rsidR="0051335B" w:rsidRPr="0051335B" w:rsidRDefault="0051335B" w:rsidP="0051335B">
      <w:pPr>
        <w:pStyle w:val="ListParagraph"/>
        <w:numPr>
          <w:ilvl w:val="0"/>
          <w:numId w:val="3"/>
        </w:numPr>
      </w:pPr>
      <w:r w:rsidRPr="0051335B">
        <w:t>Further Elimination of Technical Barriers to trade in Agricultural Produce</w:t>
      </w:r>
    </w:p>
    <w:p w14:paraId="3DBF0E43" w14:textId="77777777" w:rsidR="0051335B" w:rsidRDefault="0051335B" w:rsidP="0051335B">
      <w:pPr>
        <w:pStyle w:val="ListParagraph"/>
        <w:numPr>
          <w:ilvl w:val="0"/>
          <w:numId w:val="3"/>
        </w:numPr>
      </w:pPr>
      <w:r w:rsidRPr="0051335B">
        <w:t>Continued digitalization of the sector through the use of technology.</w:t>
      </w:r>
    </w:p>
    <w:p w14:paraId="6592E68C" w14:textId="77777777" w:rsidR="0051335B" w:rsidRPr="0051335B" w:rsidRDefault="0051335B" w:rsidP="0051335B">
      <w:pPr>
        <w:pStyle w:val="ListParagraph"/>
        <w:numPr>
          <w:ilvl w:val="0"/>
          <w:numId w:val="3"/>
        </w:numPr>
      </w:pPr>
      <w:r w:rsidRPr="0051335B">
        <w:t>Digital Agriculture</w:t>
      </w:r>
    </w:p>
    <w:p w14:paraId="4FA36A44" w14:textId="77777777" w:rsidR="0051335B" w:rsidRPr="0051335B" w:rsidRDefault="0051335B" w:rsidP="0051335B">
      <w:pPr>
        <w:pStyle w:val="ListParagraph"/>
        <w:numPr>
          <w:ilvl w:val="0"/>
          <w:numId w:val="3"/>
        </w:numPr>
      </w:pPr>
      <w:r w:rsidRPr="0051335B">
        <w:t xml:space="preserve">R &amp;D </w:t>
      </w:r>
    </w:p>
    <w:p w14:paraId="4B3091A3" w14:textId="77777777" w:rsidR="0051335B" w:rsidRPr="0051335B" w:rsidRDefault="0051335B" w:rsidP="0051335B">
      <w:pPr>
        <w:pStyle w:val="ListParagraph"/>
        <w:numPr>
          <w:ilvl w:val="0"/>
          <w:numId w:val="3"/>
        </w:numPr>
      </w:pPr>
      <w:r w:rsidRPr="0051335B">
        <w:t>Capacity Building and Enhancement</w:t>
      </w:r>
    </w:p>
    <w:p w14:paraId="214FF960" w14:textId="77777777" w:rsidR="0051335B" w:rsidRDefault="0051335B" w:rsidP="0051335B">
      <w:pPr>
        <w:pStyle w:val="ListParagraph"/>
        <w:numPr>
          <w:ilvl w:val="0"/>
          <w:numId w:val="3"/>
        </w:numPr>
      </w:pPr>
      <w:r w:rsidRPr="0051335B">
        <w:t>Technical Exchange</w:t>
      </w:r>
    </w:p>
    <w:p w14:paraId="141EA594" w14:textId="77777777" w:rsidR="0051335B" w:rsidRDefault="0051335B"/>
    <w:p w14:paraId="76C2E01A" w14:textId="77777777" w:rsidR="00595D4A" w:rsidRPr="00B55108" w:rsidRDefault="00B55108">
      <w:pPr>
        <w:rPr>
          <w:b/>
          <w:sz w:val="24"/>
          <w:szCs w:val="24"/>
        </w:rPr>
      </w:pPr>
      <w:r w:rsidRPr="00B55108">
        <w:rPr>
          <w:b/>
          <w:sz w:val="24"/>
          <w:szCs w:val="24"/>
        </w:rPr>
        <w:t>WHAT ARE THE PRIORITY COMMODITIES UNDER THE 25 BY 2025?</w:t>
      </w:r>
    </w:p>
    <w:p w14:paraId="2D1C2E45" w14:textId="77777777" w:rsidR="00595D4A" w:rsidRDefault="00595D4A"/>
    <w:p w14:paraId="2D27EB67" w14:textId="77777777" w:rsidR="00595D4A" w:rsidRDefault="00B55108" w:rsidP="00B55108">
      <w:pPr>
        <w:pStyle w:val="ListParagraph"/>
        <w:numPr>
          <w:ilvl w:val="0"/>
          <w:numId w:val="5"/>
        </w:numPr>
      </w:pPr>
      <w:r w:rsidRPr="00B55108">
        <w:t>Poultry meat</w:t>
      </w:r>
    </w:p>
    <w:p w14:paraId="6F7E9C31" w14:textId="77777777" w:rsidR="00B55108" w:rsidRDefault="00B55108" w:rsidP="00B55108">
      <w:pPr>
        <w:pStyle w:val="ListParagraph"/>
        <w:numPr>
          <w:ilvl w:val="0"/>
          <w:numId w:val="5"/>
        </w:numPr>
      </w:pPr>
      <w:r w:rsidRPr="00B55108">
        <w:t>Hatching Eggs</w:t>
      </w:r>
    </w:p>
    <w:p w14:paraId="673AF278" w14:textId="77777777" w:rsidR="00B55108" w:rsidRDefault="00B55108" w:rsidP="00B55108">
      <w:pPr>
        <w:pStyle w:val="ListParagraph"/>
        <w:numPr>
          <w:ilvl w:val="0"/>
          <w:numId w:val="5"/>
        </w:numPr>
      </w:pPr>
      <w:r>
        <w:t>Corn and Soya</w:t>
      </w:r>
    </w:p>
    <w:p w14:paraId="5B74CA5F" w14:textId="77777777" w:rsidR="00B55108" w:rsidRDefault="00B55108" w:rsidP="00B55108">
      <w:pPr>
        <w:pStyle w:val="ListParagraph"/>
        <w:numPr>
          <w:ilvl w:val="0"/>
          <w:numId w:val="5"/>
        </w:numPr>
      </w:pPr>
      <w:r w:rsidRPr="00B55108">
        <w:t>Rice</w:t>
      </w:r>
    </w:p>
    <w:p w14:paraId="2A84841E" w14:textId="77777777" w:rsidR="00B55108" w:rsidRDefault="00B55108" w:rsidP="00B55108">
      <w:pPr>
        <w:pStyle w:val="ListParagraph"/>
        <w:numPr>
          <w:ilvl w:val="0"/>
          <w:numId w:val="5"/>
        </w:numPr>
      </w:pPr>
      <w:r>
        <w:t>Other Meat (Small Ruminant, Beef  and Pork)</w:t>
      </w:r>
    </w:p>
    <w:p w14:paraId="38CD3210" w14:textId="77777777" w:rsidR="00B55108" w:rsidRDefault="00BC4A69" w:rsidP="00BC4A69">
      <w:pPr>
        <w:pStyle w:val="ListParagraph"/>
        <w:numPr>
          <w:ilvl w:val="0"/>
          <w:numId w:val="5"/>
        </w:numPr>
      </w:pPr>
      <w:r w:rsidRPr="00BC4A69">
        <w:t>Niche Vegetables</w:t>
      </w:r>
      <w:r>
        <w:t xml:space="preserve"> and other Non-Traditional Crops </w:t>
      </w:r>
    </w:p>
    <w:p w14:paraId="33066E60" w14:textId="77777777" w:rsidR="00BC4A69" w:rsidRDefault="00BC4A69" w:rsidP="00BC4A69">
      <w:pPr>
        <w:pStyle w:val="ListParagraph"/>
        <w:numPr>
          <w:ilvl w:val="0"/>
          <w:numId w:val="5"/>
        </w:numPr>
      </w:pPr>
      <w:r>
        <w:t>Coconuts</w:t>
      </w:r>
    </w:p>
    <w:p w14:paraId="18C51532" w14:textId="77777777" w:rsidR="00BC4A69" w:rsidRDefault="00BC4A69" w:rsidP="00BC4A69">
      <w:pPr>
        <w:pStyle w:val="ListParagraph"/>
        <w:numPr>
          <w:ilvl w:val="0"/>
          <w:numId w:val="5"/>
        </w:numPr>
      </w:pPr>
      <w:r>
        <w:t xml:space="preserve">Fruits </w:t>
      </w:r>
    </w:p>
    <w:p w14:paraId="5BCADB1B" w14:textId="77777777" w:rsidR="00BC4A69" w:rsidRDefault="00BC4A69" w:rsidP="00BC4A69">
      <w:pPr>
        <w:pStyle w:val="ListParagraph"/>
        <w:numPr>
          <w:ilvl w:val="0"/>
          <w:numId w:val="5"/>
        </w:numPr>
      </w:pPr>
      <w:r>
        <w:t xml:space="preserve">Roots Crops </w:t>
      </w:r>
    </w:p>
    <w:p w14:paraId="104480A4" w14:textId="77777777" w:rsidR="00BC4A69" w:rsidRDefault="00BC4A69" w:rsidP="00BC4A69">
      <w:pPr>
        <w:pStyle w:val="ListParagraph"/>
        <w:numPr>
          <w:ilvl w:val="0"/>
          <w:numId w:val="5"/>
        </w:numPr>
      </w:pPr>
      <w:r>
        <w:t xml:space="preserve">Herbs and Spices </w:t>
      </w:r>
    </w:p>
    <w:p w14:paraId="2F07C149" w14:textId="77777777" w:rsidR="00595D4A" w:rsidRDefault="00595D4A"/>
    <w:p w14:paraId="578EDFB7" w14:textId="77777777" w:rsidR="00595D4A" w:rsidRDefault="00595D4A"/>
    <w:p w14:paraId="1F29534A" w14:textId="77777777" w:rsidR="00595D4A" w:rsidRDefault="00595D4A"/>
    <w:p w14:paraId="0F6CEF44" w14:textId="77777777" w:rsidR="00595D4A" w:rsidRDefault="00BC4A69">
      <w:pPr>
        <w:rPr>
          <w:b/>
          <w:sz w:val="24"/>
          <w:szCs w:val="24"/>
        </w:rPr>
      </w:pPr>
      <w:r w:rsidRPr="00BC4A69">
        <w:rPr>
          <w:b/>
          <w:sz w:val="24"/>
          <w:szCs w:val="24"/>
        </w:rPr>
        <w:lastRenderedPageBreak/>
        <w:t>WHO ARE THE PARTNERS IN THE 25 BY 2025?</w:t>
      </w:r>
    </w:p>
    <w:p w14:paraId="6123ABB7" w14:textId="77777777" w:rsidR="00D16043" w:rsidRPr="00BC4A69" w:rsidRDefault="00D16043">
      <w:pPr>
        <w:rPr>
          <w:b/>
          <w:sz w:val="24"/>
          <w:szCs w:val="24"/>
        </w:rPr>
      </w:pPr>
    </w:p>
    <w:p w14:paraId="307F652C" w14:textId="77777777" w:rsidR="00595D4A" w:rsidRDefault="003C6254">
      <w:pPr>
        <w:rPr>
          <w:noProof/>
        </w:rPr>
      </w:pPr>
      <w:r>
        <w:rPr>
          <w:noProof/>
        </w:rPr>
        <w:drawing>
          <wp:inline distT="0" distB="0" distL="0" distR="0" wp14:anchorId="701855E7" wp14:editId="70A4741A">
            <wp:extent cx="1876425" cy="1362075"/>
            <wp:effectExtent l="0" t="0" r="9525" b="9525"/>
            <wp:docPr id="2" name="Picture 2" descr="C:\Users\shaun.baugh\AppData\Local\Microsoft\Windows\INetCache\Content.MSO\AA3F38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un.baugh\AppData\Local\Microsoft\Windows\INetCache\Content.MSO\AA3F38B0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2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070CF1" wp14:editId="5988715C">
            <wp:extent cx="1304925" cy="1152525"/>
            <wp:effectExtent l="0" t="0" r="9525" b="9525"/>
            <wp:docPr id="4" name="Picture 4" descr="C:\Users\shaun.baugh\AppData\Local\Microsoft\Windows\INetCache\Content.MSO\CFEE14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un.baugh\AppData\Local\Microsoft\Windows\INetCache\Content.MSO\CFEE146A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2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71C158" wp14:editId="41132E87">
            <wp:extent cx="895350" cy="1152525"/>
            <wp:effectExtent l="0" t="0" r="0" b="9525"/>
            <wp:docPr id="6" name="Picture 6" descr="C:\Users\shaun.baugh\AppData\Local\Microsoft\Windows\INetCache\Content.MSO\B32881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aun.baugh\AppData\Local\Microsoft\Windows\INetCache\Content.MSO\B32881D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2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ECB78E" wp14:editId="6F4A7323">
            <wp:extent cx="1504950" cy="1190625"/>
            <wp:effectExtent l="0" t="0" r="0" b="9525"/>
            <wp:docPr id="7" name="Picture 7" descr="C:\Users\shaun.baugh\AppData\Local\Microsoft\Windows\INetCache\Content.MSO\E46B9B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un.baugh\AppData\Local\Microsoft\Windows\INetCache\Content.MSO\E46B9B1B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2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2FFA88" wp14:editId="49AAEDC6">
            <wp:extent cx="1200150" cy="1200150"/>
            <wp:effectExtent l="0" t="0" r="0" b="0"/>
            <wp:docPr id="8" name="Picture 8" descr="C:\Users\shaun.baugh\AppData\Local\Microsoft\Windows\INetCache\Content.MSO\EDB517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un.baugh\AppData\Local\Microsoft\Windows\INetCache\Content.MSO\EDB5176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2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70B1E0" wp14:editId="2764BC43">
            <wp:extent cx="1304925" cy="1238250"/>
            <wp:effectExtent l="0" t="0" r="9525" b="0"/>
            <wp:docPr id="12" name="Picture 12" descr="Partnership Initiative for Sustainable Land Managemen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artnership Initiative for Sustainable Land Management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720AB" wp14:editId="66CD2127">
            <wp:extent cx="1524000" cy="1143000"/>
            <wp:effectExtent l="0" t="0" r="0" b="0"/>
            <wp:docPr id="10" name="Picture 10" descr="C:\Users\shaun.baugh\AppData\Local\Microsoft\Windows\INetCache\Content.MSO\C98F97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haun.baugh\AppData\Local\Microsoft\Windows\INetCache\Content.MSO\C98F97B8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2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7DB79F" wp14:editId="7FFA4286">
            <wp:extent cx="1419225" cy="1087755"/>
            <wp:effectExtent l="0" t="0" r="9525" b="0"/>
            <wp:docPr id="13" name="Picture 13" descr="https://storage.builderall.com/franquias/2/6359212/editor-html/114146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orage.builderall.com/franquias/2/6359212/editor-html/1141467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203" cy="109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25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D700DF" wp14:editId="59493DF5">
            <wp:extent cx="1095375" cy="1190625"/>
            <wp:effectExtent l="0" t="0" r="0" b="9525"/>
            <wp:docPr id="15" name="Picture 15" descr="AACARI – Agriculture Alliance of the Caribbe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ACARI – Agriculture Alliance of the Caribbea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7CEF" w:rsidRPr="00BD7CEF">
        <w:rPr>
          <w:noProof/>
        </w:rPr>
        <w:t xml:space="preserve"> </w:t>
      </w:r>
      <w:r w:rsidR="00BD7CEF">
        <w:rPr>
          <w:noProof/>
        </w:rPr>
        <w:drawing>
          <wp:inline distT="0" distB="0" distL="0" distR="0" wp14:anchorId="69DABCC3" wp14:editId="0788801A">
            <wp:extent cx="1581150" cy="1181212"/>
            <wp:effectExtent l="0" t="0" r="0" b="0"/>
            <wp:docPr id="16" name="Picture 16" descr="C:\Users\shaun.baugh\AppData\Local\Microsoft\Windows\INetCache\Content.MSO\45BFFE5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haun.baugh\AppData\Local\Microsoft\Windows\INetCache\Content.MSO\45BFFE5C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469" cy="118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6043" w:rsidRPr="00D16043">
        <w:rPr>
          <w:noProof/>
        </w:rPr>
        <w:t xml:space="preserve"> </w:t>
      </w:r>
      <w:r w:rsidR="00D16043">
        <w:rPr>
          <w:noProof/>
        </w:rPr>
        <w:drawing>
          <wp:inline distT="0" distB="0" distL="0" distR="0" wp14:anchorId="1AA71135" wp14:editId="164BD4BB">
            <wp:extent cx="2228850" cy="1152525"/>
            <wp:effectExtent l="0" t="0" r="0" b="9525"/>
            <wp:docPr id="19" name="Picture 19" descr="C:\Users\shaun.baugh\AppData\Local\Microsoft\Windows\INetCache\Content.MSO\DD7073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haun.baugh\AppData\Local\Microsoft\Windows\INetCache\Content.MSO\DD70733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90CB9" w14:textId="77777777" w:rsidR="00D16043" w:rsidRDefault="00D16043">
      <w:r>
        <w:rPr>
          <w:noProof/>
        </w:rPr>
        <w:drawing>
          <wp:inline distT="0" distB="0" distL="0" distR="0" wp14:anchorId="762CBF6E" wp14:editId="2DB8D353">
            <wp:extent cx="1257300" cy="1257300"/>
            <wp:effectExtent l="0" t="0" r="0" b="0"/>
            <wp:docPr id="17" name="Picture 17" descr="C:\Users\shaun.baugh\AppData\Local\Microsoft\Windows\INetCache\Content.MSO\9C3C66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haun.baugh\AppData\Local\Microsoft\Windows\INetCache\Content.MSO\9C3C6643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0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8FF471" wp14:editId="7BA14BFE">
            <wp:extent cx="1181100" cy="885825"/>
            <wp:effectExtent l="0" t="0" r="0" b="9525"/>
            <wp:docPr id="18" name="Picture 18" descr="CARICOM Development Fund (CD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ARICOM Development Fund (CDF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228" cy="88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1604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ED5145" wp14:editId="2C53C9F7">
            <wp:extent cx="1609725" cy="1209675"/>
            <wp:effectExtent l="0" t="0" r="9525" b="9525"/>
            <wp:docPr id="23" name="Picture 23" descr="C:\Users\shaun.baugh\AppData\Local\Microsoft\Windows\INetCache\Content.MSO\1D87DB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haun.baugh\AppData\Local\Microsoft\Windows\INetCache\Content.MSO\1D87DB18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577D2FD" wp14:editId="00E5E79D">
            <wp:extent cx="1685925" cy="1685925"/>
            <wp:effectExtent l="0" t="0" r="9525" b="9525"/>
            <wp:docPr id="21" name="Picture 21" descr="C:\Users\shaun.baugh\AppData\Local\Microsoft\Windows\INetCache\Content.MSO\5DCA45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haun.baugh\AppData\Local\Microsoft\Windows\INetCache\Content.MSO\5DCA45C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D07A" w14:textId="77777777" w:rsidR="00595D4A" w:rsidRDefault="00595D4A"/>
    <w:p w14:paraId="23CFA5CC" w14:textId="77777777" w:rsidR="00595D4A" w:rsidRDefault="00D16043">
      <w:r>
        <w:rPr>
          <w:noProof/>
        </w:rPr>
        <w:drawing>
          <wp:inline distT="0" distB="0" distL="0" distR="0" wp14:anchorId="0EF33241" wp14:editId="22DB8E48">
            <wp:extent cx="1779859" cy="990600"/>
            <wp:effectExtent l="0" t="0" r="0" b="0"/>
            <wp:docPr id="26" name="Picture 26" descr="C:\Users\shaun.baugh\AppData\Local\Microsoft\Windows\INetCache\Content.MSO\E8B560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haun.baugh\AppData\Local\Microsoft\Windows\INetCache\Content.MSO\E8B560B1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437" cy="99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D4A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9791E" w14:textId="77777777" w:rsidR="0019798F" w:rsidRDefault="0019798F" w:rsidP="00A12BBC">
      <w:pPr>
        <w:spacing w:after="0" w:line="240" w:lineRule="auto"/>
      </w:pPr>
      <w:r>
        <w:separator/>
      </w:r>
    </w:p>
  </w:endnote>
  <w:endnote w:type="continuationSeparator" w:id="0">
    <w:p w14:paraId="30A744B4" w14:textId="77777777" w:rsidR="0019798F" w:rsidRDefault="0019798F" w:rsidP="00A1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604A" w14:textId="77777777" w:rsidR="00A12BBC" w:rsidRDefault="00A12B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5DABD" w14:textId="77777777" w:rsidR="00A12BBC" w:rsidRDefault="00A12B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4E47" w14:textId="77777777" w:rsidR="00A12BBC" w:rsidRDefault="00A12B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ACDC7" w14:textId="77777777" w:rsidR="0019798F" w:rsidRDefault="0019798F" w:rsidP="00A12BBC">
      <w:pPr>
        <w:spacing w:after="0" w:line="240" w:lineRule="auto"/>
      </w:pPr>
      <w:r>
        <w:separator/>
      </w:r>
    </w:p>
  </w:footnote>
  <w:footnote w:type="continuationSeparator" w:id="0">
    <w:p w14:paraId="5434F891" w14:textId="77777777" w:rsidR="0019798F" w:rsidRDefault="0019798F" w:rsidP="00A12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8CBC" w14:textId="77777777" w:rsidR="00A12BBC" w:rsidRDefault="002E7902">
    <w:pPr>
      <w:pStyle w:val="Header"/>
    </w:pPr>
    <w:r>
      <w:rPr>
        <w:noProof/>
      </w:rPr>
      <w:pict w14:anchorId="4571DC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1310251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3D350" w14:textId="77777777" w:rsidR="00A12BBC" w:rsidRDefault="002E7902">
    <w:pPr>
      <w:pStyle w:val="Header"/>
    </w:pPr>
    <w:r>
      <w:rPr>
        <w:noProof/>
      </w:rPr>
      <w:pict w14:anchorId="3C365C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1310252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DFB87" w14:textId="77777777" w:rsidR="00A12BBC" w:rsidRDefault="002E7902">
    <w:pPr>
      <w:pStyle w:val="Header"/>
    </w:pPr>
    <w:r>
      <w:rPr>
        <w:noProof/>
      </w:rPr>
      <w:pict w14:anchorId="0C8394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51310250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509BE"/>
    <w:multiLevelType w:val="hybridMultilevel"/>
    <w:tmpl w:val="8618B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869D5"/>
    <w:multiLevelType w:val="hybridMultilevel"/>
    <w:tmpl w:val="4E5E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1722B"/>
    <w:multiLevelType w:val="hybridMultilevel"/>
    <w:tmpl w:val="35C6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D71F8"/>
    <w:multiLevelType w:val="hybridMultilevel"/>
    <w:tmpl w:val="57108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366BE"/>
    <w:multiLevelType w:val="hybridMultilevel"/>
    <w:tmpl w:val="CC683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3068895">
    <w:abstractNumId w:val="4"/>
  </w:num>
  <w:num w:numId="2" w16cid:durableId="1668287962">
    <w:abstractNumId w:val="3"/>
  </w:num>
  <w:num w:numId="3" w16cid:durableId="1734697071">
    <w:abstractNumId w:val="1"/>
  </w:num>
  <w:num w:numId="4" w16cid:durableId="971640734">
    <w:abstractNumId w:val="0"/>
  </w:num>
  <w:num w:numId="5" w16cid:durableId="1304842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D4A"/>
    <w:rsid w:val="0019798F"/>
    <w:rsid w:val="0024726B"/>
    <w:rsid w:val="002E7902"/>
    <w:rsid w:val="003C6254"/>
    <w:rsid w:val="0051335B"/>
    <w:rsid w:val="00595D4A"/>
    <w:rsid w:val="009B4839"/>
    <w:rsid w:val="00A12BBC"/>
    <w:rsid w:val="00A21834"/>
    <w:rsid w:val="00B55108"/>
    <w:rsid w:val="00BC4A69"/>
    <w:rsid w:val="00BD7CEF"/>
    <w:rsid w:val="00CE6F0E"/>
    <w:rsid w:val="00D16043"/>
    <w:rsid w:val="00DA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6BAC406"/>
  <w15:chartTrackingRefBased/>
  <w15:docId w15:val="{13B70AB0-6DC4-40E6-86FF-AEB460E15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5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33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2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BBC"/>
  </w:style>
  <w:style w:type="paragraph" w:styleId="Footer">
    <w:name w:val="footer"/>
    <w:basedOn w:val="Normal"/>
    <w:link w:val="FooterChar"/>
    <w:uiPriority w:val="99"/>
    <w:unhideWhenUsed/>
    <w:rsid w:val="00A12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B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5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2861</Characters>
  <Application>Microsoft Office Word</Application>
  <DocSecurity>4</DocSecurity>
  <Lines>69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CARICOM Secretariat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Baugh</dc:creator>
  <cp:keywords/>
  <dc:description/>
  <cp:lastModifiedBy>Milagro Matus</cp:lastModifiedBy>
  <cp:revision>2</cp:revision>
  <dcterms:created xsi:type="dcterms:W3CDTF">2023-11-15T19:15:00Z</dcterms:created>
  <dcterms:modified xsi:type="dcterms:W3CDTF">2023-11-15T19:15:00Z</dcterms:modified>
</cp:coreProperties>
</file>