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424"/>
          <w:highlight w:val="white"/>
        </w:rPr>
      </w:pPr>
      <w:r w:rsidDel="00000000" w:rsidR="00000000" w:rsidRPr="00000000">
        <w:rPr>
          <w:b w:val="1"/>
          <w:color w:val="242424"/>
          <w:highlight w:val="white"/>
          <w:rtl w:val="0"/>
        </w:rPr>
        <w:t xml:space="preserve">Avangrid Challenge</w:t>
      </w:r>
    </w:p>
    <w:p w:rsidR="00000000" w:rsidDel="00000000" w:rsidP="00000000" w:rsidRDefault="00000000" w:rsidRPr="00000000" w14:paraId="00000002">
      <w:pPr>
        <w:rPr>
          <w:b w:val="1"/>
          <w:color w:val="242424"/>
          <w:highlight w:val="white"/>
        </w:rPr>
      </w:pPr>
      <w:r w:rsidDel="00000000" w:rsidR="00000000" w:rsidRPr="00000000">
        <w:rPr>
          <w:rtl w:val="0"/>
        </w:rPr>
      </w:r>
    </w:p>
    <w:p w:rsidR="00000000" w:rsidDel="00000000" w:rsidP="00000000" w:rsidRDefault="00000000" w:rsidRPr="00000000" w14:paraId="00000003">
      <w:pPr>
        <w:shd w:fill="ffffff" w:val="clear"/>
        <w:rPr>
          <w:color w:val="242424"/>
        </w:rPr>
      </w:pPr>
      <w:r w:rsidDel="00000000" w:rsidR="00000000" w:rsidRPr="00000000">
        <w:rPr>
          <w:color w:val="242424"/>
          <w:rtl w:val="0"/>
        </w:rPr>
        <w:t xml:space="preserve">Use AI to design a strategic plan for the development of public EV charging stations (level 2 and DCFC)  in one of Avangrid Networks’ service territories. Consider how AI can analyze various factors such as EV adoption rates, geographic constraints, energy supply and system upgrades to determine optimal locations and capabilities for charging infrastructure. Include a roadmap to implementation.</w:t>
      </w:r>
    </w:p>
    <w:p w:rsidR="00000000" w:rsidDel="00000000" w:rsidP="00000000" w:rsidRDefault="00000000" w:rsidRPr="00000000" w14:paraId="00000004">
      <w:pPr>
        <w:shd w:fill="ffffff" w:val="clear"/>
        <w:rPr>
          <w:color w:val="242424"/>
        </w:rPr>
      </w:pPr>
      <w:r w:rsidDel="00000000" w:rsidR="00000000" w:rsidRPr="00000000">
        <w:rPr>
          <w:color w:val="242424"/>
          <w:rtl w:val="0"/>
        </w:rPr>
        <w:t xml:space="preserve"> </w:t>
      </w:r>
    </w:p>
    <w:p w:rsidR="00000000" w:rsidDel="00000000" w:rsidP="00000000" w:rsidRDefault="00000000" w:rsidRPr="00000000" w14:paraId="00000005">
      <w:pPr>
        <w:shd w:fill="ffffff" w:val="clear"/>
        <w:rPr>
          <w:color w:val="242424"/>
        </w:rPr>
      </w:pPr>
      <w:r w:rsidDel="00000000" w:rsidR="00000000" w:rsidRPr="00000000">
        <w:rPr>
          <w:color w:val="242424"/>
          <w:rtl w:val="0"/>
        </w:rPr>
        <w:t xml:space="preserve">Here is some supplemental information for the prompt:</w:t>
      </w:r>
    </w:p>
    <w:p w:rsidR="00000000" w:rsidDel="00000000" w:rsidP="00000000" w:rsidRDefault="00000000" w:rsidRPr="00000000" w14:paraId="00000006">
      <w:pPr>
        <w:numPr>
          <w:ilvl w:val="0"/>
          <w:numId w:val="1"/>
        </w:numPr>
        <w:shd w:fill="ffffff" w:val="clear"/>
        <w:ind w:left="720" w:hanging="360"/>
        <w:rPr>
          <w:rFonts w:ascii="Arial" w:cs="Arial" w:eastAsia="Arial" w:hAnsi="Arial"/>
          <w:sz w:val="22"/>
          <w:szCs w:val="22"/>
        </w:rPr>
      </w:pPr>
      <w:hyperlink r:id="rId6">
        <w:r w:rsidDel="00000000" w:rsidR="00000000" w:rsidRPr="00000000">
          <w:rPr>
            <w:color w:val="1155cc"/>
            <w:u w:val="single"/>
            <w:rtl w:val="0"/>
          </w:rPr>
          <w:t xml:space="preserve">Avangrid 2022 Sustainability Report</w:t>
        </w:r>
      </w:hyperlink>
      <w:r w:rsidDel="00000000" w:rsidR="00000000" w:rsidRPr="00000000">
        <w:rPr>
          <w:color w:val="242424"/>
          <w:rtl w:val="0"/>
        </w:rPr>
        <w:t xml:space="preserve"> – see pages 7, 32</w:t>
      </w:r>
    </w:p>
    <w:p w:rsidR="00000000" w:rsidDel="00000000" w:rsidP="00000000" w:rsidRDefault="00000000" w:rsidRPr="00000000" w14:paraId="00000007">
      <w:pPr>
        <w:numPr>
          <w:ilvl w:val="0"/>
          <w:numId w:val="1"/>
        </w:numPr>
        <w:shd w:fill="ffffff" w:val="clear"/>
        <w:ind w:left="720" w:hanging="360"/>
        <w:rPr>
          <w:rFonts w:ascii="Arial" w:cs="Arial" w:eastAsia="Arial" w:hAnsi="Arial"/>
          <w:sz w:val="22"/>
          <w:szCs w:val="22"/>
        </w:rPr>
      </w:pPr>
      <w:hyperlink r:id="rId7">
        <w:r w:rsidDel="00000000" w:rsidR="00000000" w:rsidRPr="00000000">
          <w:rPr>
            <w:color w:val="1155cc"/>
            <w:u w:val="single"/>
            <w:rtl w:val="0"/>
          </w:rPr>
          <w:t xml:space="preserve">Electric Vehicles - Avangrid</w:t>
        </w:r>
      </w:hyperlink>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rPr>
          <w:rFonts w:ascii="Arial" w:cs="Arial" w:eastAsia="Arial" w:hAnsi="Arial"/>
          <w:sz w:val="22"/>
          <w:szCs w:val="22"/>
        </w:rPr>
      </w:pPr>
      <w:r w:rsidDel="00000000" w:rsidR="00000000" w:rsidRPr="00000000">
        <w:rPr>
          <w:color w:val="242424"/>
          <w:rtl w:val="0"/>
        </w:rPr>
        <w:t xml:space="preserve">Maps of our service territories:</w:t>
      </w:r>
    </w:p>
    <w:p w:rsidR="00000000" w:rsidDel="00000000" w:rsidP="00000000" w:rsidRDefault="00000000" w:rsidRPr="00000000" w14:paraId="00000009">
      <w:pPr>
        <w:numPr>
          <w:ilvl w:val="1"/>
          <w:numId w:val="1"/>
        </w:numPr>
        <w:ind w:left="1440" w:hanging="360"/>
        <w:rPr>
          <w:rFonts w:ascii="Arial" w:cs="Arial" w:eastAsia="Arial" w:hAnsi="Arial"/>
          <w:sz w:val="22"/>
          <w:szCs w:val="22"/>
        </w:rPr>
      </w:pPr>
      <w:r w:rsidDel="00000000" w:rsidR="00000000" w:rsidRPr="00000000">
        <w:rPr>
          <w:color w:val="242424"/>
          <w:rtl w:val="0"/>
        </w:rPr>
        <w:t xml:space="preserve">NYSEG and RG&amp;E: </w:t>
      </w:r>
      <w:hyperlink r:id="rId8">
        <w:r w:rsidDel="00000000" w:rsidR="00000000" w:rsidRPr="00000000">
          <w:rPr>
            <w:color w:val="1155cc"/>
            <w:u w:val="single"/>
            <w:rtl w:val="0"/>
          </w:rPr>
          <w:t xml:space="preserve">NYSEG/RGE EV Load Capacity (arcgis.com)</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rFonts w:ascii="Arial" w:cs="Arial" w:eastAsia="Arial" w:hAnsi="Arial"/>
          <w:sz w:val="22"/>
          <w:szCs w:val="22"/>
        </w:rPr>
      </w:pPr>
      <w:r w:rsidDel="00000000" w:rsidR="00000000" w:rsidRPr="00000000">
        <w:rPr>
          <w:color w:val="242424"/>
          <w:rtl w:val="0"/>
        </w:rPr>
        <w:t xml:space="preserve">CMP: </w:t>
      </w:r>
      <w:hyperlink r:id="rId9">
        <w:r w:rsidDel="00000000" w:rsidR="00000000" w:rsidRPr="00000000">
          <w:rPr>
            <w:color w:val="1155cc"/>
            <w:u w:val="single"/>
            <w:rtl w:val="0"/>
          </w:rPr>
          <w:t xml:space="preserve">CMP Load Hosting Capacity Map (arcgis.com)</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rFonts w:ascii="Arial" w:cs="Arial" w:eastAsia="Arial" w:hAnsi="Arial"/>
          <w:sz w:val="22"/>
          <w:szCs w:val="22"/>
        </w:rPr>
      </w:pPr>
      <w:r w:rsidDel="00000000" w:rsidR="00000000" w:rsidRPr="00000000">
        <w:rPr>
          <w:color w:val="242424"/>
          <w:rtl w:val="0"/>
        </w:rPr>
        <w:t xml:space="preserve">UI: </w:t>
      </w:r>
      <w:hyperlink r:id="rId10">
        <w:r w:rsidDel="00000000" w:rsidR="00000000" w:rsidRPr="00000000">
          <w:rPr>
            <w:color w:val="1155cc"/>
            <w:u w:val="single"/>
            <w:rtl w:val="0"/>
          </w:rPr>
          <w:t xml:space="preserve">UI EV Hosting Capacity (arcgis.com)</w:t>
        </w:r>
      </w:hyperlink>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rPr>
          <w:rFonts w:ascii="Arial" w:cs="Arial" w:eastAsia="Arial" w:hAnsi="Arial"/>
          <w:sz w:val="22"/>
          <w:szCs w:val="22"/>
        </w:rPr>
      </w:pPr>
      <w:hyperlink r:id="rId11">
        <w:r w:rsidDel="00000000" w:rsidR="00000000" w:rsidRPr="00000000">
          <w:rPr>
            <w:color w:val="1155cc"/>
            <w:u w:val="single"/>
            <w:rtl w:val="0"/>
          </w:rPr>
          <w:t xml:space="preserve">Alternative Fuels Data Center: Electric Vehicle Charging Station Locations (energy.gov)</w:t>
        </w:r>
      </w:hyperlink>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rFonts w:ascii="Arial" w:cs="Arial" w:eastAsia="Arial" w:hAnsi="Arial"/>
          <w:sz w:val="22"/>
          <w:szCs w:val="22"/>
        </w:rPr>
      </w:pPr>
      <w:hyperlink r:id="rId12">
        <w:r w:rsidDel="00000000" w:rsidR="00000000" w:rsidRPr="00000000">
          <w:rPr>
            <w:color w:val="1155cc"/>
            <w:u w:val="single"/>
            <w:rtl w:val="0"/>
          </w:rPr>
          <w:t xml:space="preserve">Avangrid Networks - Avangrid</w:t>
        </w:r>
      </w:hyperlink>
      <w:r w:rsidDel="00000000" w:rsidR="00000000" w:rsidRPr="00000000">
        <w:rPr>
          <w:rtl w:val="0"/>
        </w:rPr>
      </w:r>
    </w:p>
    <w:p w:rsidR="00000000" w:rsidDel="00000000" w:rsidP="00000000" w:rsidRDefault="00000000" w:rsidRPr="00000000" w14:paraId="0000000E">
      <w:pPr>
        <w:numPr>
          <w:ilvl w:val="0"/>
          <w:numId w:val="1"/>
        </w:numPr>
        <w:shd w:fill="ffffff" w:val="clear"/>
        <w:ind w:left="720" w:hanging="360"/>
        <w:rPr>
          <w:rFonts w:ascii="Arial" w:cs="Arial" w:eastAsia="Arial" w:hAnsi="Arial"/>
          <w:sz w:val="22"/>
          <w:szCs w:val="22"/>
        </w:rPr>
      </w:pPr>
      <w:hyperlink r:id="rId13">
        <w:r w:rsidDel="00000000" w:rsidR="00000000" w:rsidRPr="00000000">
          <w:rPr>
            <w:color w:val="1155cc"/>
            <w:u w:val="single"/>
            <w:rtl w:val="0"/>
          </w:rPr>
          <w:t xml:space="preserve">The 50 States of Electric Vehicles: State ZEV Targets, Managed Charging, &amp; LMI Access Prioritized in 2022 | Fuel What Matters</w:t>
        </w:r>
      </w:hyperlink>
      <w:r w:rsidDel="00000000" w:rsidR="00000000" w:rsidRPr="00000000">
        <w:rPr>
          <w:rtl w:val="0"/>
        </w:rPr>
      </w:r>
    </w:p>
    <w:p w:rsidR="00000000" w:rsidDel="00000000" w:rsidP="00000000" w:rsidRDefault="00000000" w:rsidRPr="00000000" w14:paraId="0000000F">
      <w:pPr>
        <w:numPr>
          <w:ilvl w:val="0"/>
          <w:numId w:val="1"/>
        </w:numPr>
        <w:shd w:fill="ffffff" w:val="clear"/>
        <w:ind w:left="720" w:hanging="360"/>
        <w:rPr>
          <w:rFonts w:ascii="Arial" w:cs="Arial" w:eastAsia="Arial" w:hAnsi="Arial"/>
          <w:sz w:val="22"/>
          <w:szCs w:val="22"/>
        </w:rPr>
      </w:pPr>
      <w:hyperlink r:id="rId14">
        <w:r w:rsidDel="00000000" w:rsidR="00000000" w:rsidRPr="00000000">
          <w:rPr>
            <w:color w:val="1155cc"/>
            <w:u w:val="single"/>
            <w:rtl w:val="0"/>
          </w:rPr>
          <w:t xml:space="preserve">Electricity - U.S. Energy Information Administration (EIA)</w:t>
        </w:r>
      </w:hyperlink>
      <w:r w:rsidDel="00000000" w:rsidR="00000000" w:rsidRPr="00000000">
        <w:rPr>
          <w:rtl w:val="0"/>
        </w:rPr>
      </w:r>
    </w:p>
    <w:p w:rsidR="00000000" w:rsidDel="00000000" w:rsidP="00000000" w:rsidRDefault="00000000" w:rsidRPr="00000000" w14:paraId="00000010">
      <w:pPr>
        <w:rPr>
          <w:i w:val="1"/>
          <w:color w:val="2424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rFonts w:ascii="Roboto" w:cs="Roboto" w:eastAsia="Roboto" w:hAnsi="Roboto"/>
        <w:color w:val="242424"/>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fdc.energy.gov/fuels/electricity_locations.html#/find/nearest?fuel=ELEC" TargetMode="External"/><Relationship Id="rId10" Type="http://schemas.openxmlformats.org/officeDocument/2006/relationships/hyperlink" Target="https://www.arcgis.com/apps/webappviewer/index.html?id=b5fe4d1060b14b14893a880ddb1e10c8" TargetMode="External"/><Relationship Id="rId13" Type="http://schemas.openxmlformats.org/officeDocument/2006/relationships/hyperlink" Target="https://www.fuelwhatmatters.org/the-50-states-of-electric-vehicles-2022/" TargetMode="External"/><Relationship Id="rId12" Type="http://schemas.openxmlformats.org/officeDocument/2006/relationships/hyperlink" Target="https://www.avangrid.com/es/aboutus/avangrid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usamsda.maps.arcgis.com/apps/webappviewer/index.html?id=4ef4d435464a443c8e547eb35ae37285" TargetMode="External"/><Relationship Id="rId14" Type="http://schemas.openxmlformats.org/officeDocument/2006/relationships/hyperlink" Target="https://www.eia.gov/electricity/" TargetMode="External"/><Relationship Id="rId5" Type="http://schemas.openxmlformats.org/officeDocument/2006/relationships/styles" Target="styles.xml"/><Relationship Id="rId6" Type="http://schemas.openxmlformats.org/officeDocument/2006/relationships/hyperlink" Target="https://www.avangrid.com/documents/453723/0/23-5297+Sustainability+Report+2022_4.8-+Final.pdf/bed349e8-22f4-1e6c-0749-ab12ab68eff4?t=1684766312434" TargetMode="External"/><Relationship Id="rId7" Type="http://schemas.openxmlformats.org/officeDocument/2006/relationships/hyperlink" Target="https://www.avangrid.com/es/sustainability/technologyandinnovation/electricvehicles#:~:text=In%202022%2C%20we%20expanded%20our,EV%20charging%20ports%20by%202030." TargetMode="External"/><Relationship Id="rId8" Type="http://schemas.openxmlformats.org/officeDocument/2006/relationships/hyperlink" Target="https://www.arcgis.com/apps/webappviewer/index.html?id=b0aa511b66d1409fbf87b46b50339a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