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A33E1" w14:textId="77777777" w:rsidR="00143B3F" w:rsidRPr="00143B3F" w:rsidRDefault="00143B3F" w:rsidP="00143B3F">
      <w:pPr>
        <w:rPr>
          <w:b/>
          <w:bCs/>
        </w:rPr>
      </w:pPr>
      <w:r w:rsidRPr="00143B3F">
        <w:rPr>
          <w:b/>
          <w:bCs/>
        </w:rPr>
        <w:t>RiskGPS: Estimating Prepayments for Parallel and Non-Parallel Rate Shocks</w:t>
      </w:r>
    </w:p>
    <w:p w14:paraId="57E527DD" w14:textId="77777777" w:rsidR="00143B3F" w:rsidRPr="00143B3F" w:rsidRDefault="00143B3F" w:rsidP="00143B3F">
      <w:pPr>
        <w:rPr>
          <w:b/>
          <w:bCs/>
        </w:rPr>
      </w:pPr>
      <w:r w:rsidRPr="00143B3F">
        <w:rPr>
          <w:b/>
          <w:bCs/>
        </w:rPr>
        <w:t>Regulatory Expectations and Context</w:t>
      </w:r>
    </w:p>
    <w:p w14:paraId="0D371D0F" w14:textId="77777777" w:rsidR="00143B3F" w:rsidRPr="00143B3F" w:rsidRDefault="00143B3F" w:rsidP="00143B3F">
      <w:r w:rsidRPr="00143B3F">
        <w:t xml:space="preserve">Examiners expect banks to develop and periodically review </w:t>
      </w:r>
      <w:r w:rsidRPr="00143B3F">
        <w:rPr>
          <w:b/>
          <w:bCs/>
        </w:rPr>
        <w:t>loan prepayment assumptions</w:t>
      </w:r>
      <w:r w:rsidRPr="00143B3F">
        <w:t xml:space="preserve"> that reflect the characteristics of their loan portfolios and customer behavior. While historical data provides a useful foundation, prepayment assumptions used in </w:t>
      </w:r>
      <w:r w:rsidRPr="00143B3F">
        <w:rPr>
          <w:b/>
          <w:bCs/>
        </w:rPr>
        <w:t>rate-shocked margin and Economic Value of Equity (EVE) analyses</w:t>
      </w:r>
      <w:r w:rsidRPr="00143B3F">
        <w:t xml:space="preserve"> must also account for how loans might respond to </w:t>
      </w:r>
      <w:r w:rsidRPr="00143B3F">
        <w:rPr>
          <w:b/>
          <w:bCs/>
        </w:rPr>
        <w:t>rapid interest rate changes</w:t>
      </w:r>
      <w:r w:rsidRPr="00143B3F">
        <w:t>.</w:t>
      </w:r>
    </w:p>
    <w:p w14:paraId="16627EC6" w14:textId="4058745E" w:rsidR="00143B3F" w:rsidRPr="00143B3F" w:rsidRDefault="00143B3F" w:rsidP="00143B3F">
      <w:r w:rsidRPr="00143B3F">
        <w:t xml:space="preserve">Accurate assumptions require both </w:t>
      </w:r>
      <w:r w:rsidRPr="00143B3F">
        <w:rPr>
          <w:b/>
          <w:bCs/>
        </w:rPr>
        <w:t xml:space="preserve">quantitative </w:t>
      </w:r>
      <w:r w:rsidR="009F5BB3">
        <w:rPr>
          <w:b/>
          <w:bCs/>
        </w:rPr>
        <w:t xml:space="preserve">and </w:t>
      </w:r>
      <w:r w:rsidRPr="00143B3F">
        <w:rPr>
          <w:b/>
          <w:bCs/>
        </w:rPr>
        <w:t xml:space="preserve">qualitative </w:t>
      </w:r>
      <w:r w:rsidR="009F5BB3">
        <w:rPr>
          <w:b/>
          <w:bCs/>
        </w:rPr>
        <w:t>analysis</w:t>
      </w:r>
      <w:r w:rsidRPr="00143B3F">
        <w:t xml:space="preserve"> to ensure results are realistic.</w:t>
      </w:r>
    </w:p>
    <w:p w14:paraId="5BA63FDB" w14:textId="77777777" w:rsidR="00143B3F" w:rsidRPr="00143B3F" w:rsidRDefault="00000000" w:rsidP="00143B3F">
      <w:r>
        <w:pict w14:anchorId="64C2017C">
          <v:rect id="_x0000_i1025" style="width:0;height:1.5pt" o:hralign="center" o:hrstd="t" o:hr="t" fillcolor="#a0a0a0" stroked="f"/>
        </w:pict>
      </w:r>
    </w:p>
    <w:p w14:paraId="13EC8ACE" w14:textId="77777777" w:rsidR="00143B3F" w:rsidRPr="00143B3F" w:rsidRDefault="00143B3F" w:rsidP="00143B3F">
      <w:pPr>
        <w:rPr>
          <w:b/>
          <w:bCs/>
        </w:rPr>
      </w:pPr>
      <w:r w:rsidRPr="00143B3F">
        <w:rPr>
          <w:b/>
          <w:bCs/>
        </w:rPr>
        <w:t>Using Historical Experience to Estimate Prepayments</w:t>
      </w:r>
    </w:p>
    <w:p w14:paraId="7495B6EE" w14:textId="77777777" w:rsidR="00143B3F" w:rsidRPr="00143B3F" w:rsidRDefault="00143B3F" w:rsidP="00143B3F">
      <w:r w:rsidRPr="00143B3F">
        <w:t xml:space="preserve">Suppose your bank has conducted a historical analysis and found an </w:t>
      </w:r>
      <w:r w:rsidRPr="00143B3F">
        <w:rPr>
          <w:b/>
          <w:bCs/>
        </w:rPr>
        <w:t>actual average prepayment rate of 5%</w:t>
      </w:r>
      <w:r w:rsidRPr="00143B3F">
        <w:t xml:space="preserve"> over the past year. This rate can be applied to the </w:t>
      </w:r>
      <w:r w:rsidRPr="00143B3F">
        <w:rPr>
          <w:b/>
          <w:bCs/>
        </w:rPr>
        <w:t>zero shock level</w:t>
      </w:r>
      <w:r w:rsidRPr="00143B3F">
        <w:t xml:space="preserve"> of your interest rate risk model.</w:t>
      </w:r>
    </w:p>
    <w:p w14:paraId="2E97CE36" w14:textId="77777777" w:rsidR="00143B3F" w:rsidRPr="00143B3F" w:rsidRDefault="00143B3F" w:rsidP="00143B3F">
      <w:r w:rsidRPr="00143B3F">
        <w:t xml:space="preserve">To estimate prepayment rates at other shock levels—both positive and </w:t>
      </w:r>
      <w:proofErr w:type="gramStart"/>
      <w:r w:rsidRPr="00143B3F">
        <w:t>negative—a</w:t>
      </w:r>
      <w:proofErr w:type="gramEnd"/>
      <w:r w:rsidRPr="00143B3F">
        <w:t xml:space="preserve"> common approach involves benchmarking against the </w:t>
      </w:r>
      <w:r w:rsidRPr="00143B3F">
        <w:rPr>
          <w:b/>
          <w:bCs/>
        </w:rPr>
        <w:t>Plansmith Default prepayment rates</w:t>
      </w:r>
      <w:r w:rsidRPr="00143B3F">
        <w:t>.</w:t>
      </w:r>
    </w:p>
    <w:p w14:paraId="10CEA9F0" w14:textId="77777777" w:rsidR="00143B3F" w:rsidRPr="00143B3F" w:rsidRDefault="00143B3F" w:rsidP="00143B3F">
      <w:pPr>
        <w:rPr>
          <w:b/>
          <w:bCs/>
        </w:rPr>
      </w:pPr>
      <w:r w:rsidRPr="00143B3F">
        <w:rPr>
          <w:b/>
          <w:bCs/>
        </w:rPr>
        <w:t>Step-by-Step Method</w:t>
      </w:r>
    </w:p>
    <w:p w14:paraId="635A1821" w14:textId="77777777" w:rsidR="00143B3F" w:rsidRPr="00143B3F" w:rsidRDefault="00143B3F" w:rsidP="00143B3F">
      <w:pPr>
        <w:numPr>
          <w:ilvl w:val="0"/>
          <w:numId w:val="1"/>
        </w:numPr>
      </w:pPr>
      <w:r w:rsidRPr="00143B3F">
        <w:rPr>
          <w:b/>
          <w:bCs/>
        </w:rPr>
        <w:t>Calculate the Ratio:</w:t>
      </w:r>
    </w:p>
    <w:p w14:paraId="125C8FD2" w14:textId="77777777" w:rsidR="00143B3F" w:rsidRPr="00143B3F" w:rsidRDefault="00143B3F" w:rsidP="00143B3F">
      <w:pPr>
        <w:numPr>
          <w:ilvl w:val="1"/>
          <w:numId w:val="1"/>
        </w:numPr>
      </w:pPr>
      <w:r w:rsidRPr="00143B3F">
        <w:t>Divide your bank’s observed prepayment rate by the Plansmith Default prepayment rate for the zero shock level.</w:t>
      </w:r>
    </w:p>
    <w:p w14:paraId="04061900" w14:textId="77777777" w:rsidR="00143B3F" w:rsidRPr="00143B3F" w:rsidRDefault="00143B3F" w:rsidP="00143B3F">
      <w:pPr>
        <w:numPr>
          <w:ilvl w:val="1"/>
          <w:numId w:val="1"/>
        </w:numPr>
      </w:pPr>
      <w:r w:rsidRPr="00143B3F">
        <w:t>Example:</w:t>
      </w:r>
      <w:r w:rsidRPr="00143B3F">
        <w:br/>
        <w:t>Your Bank’s Prepayment Rate = 5%</w:t>
      </w:r>
      <w:r w:rsidRPr="00143B3F">
        <w:br/>
        <w:t>Plansmith Default (Zero Shock) = 10%</w:t>
      </w:r>
      <w:r w:rsidRPr="00143B3F">
        <w:br/>
        <w:t xml:space="preserve">Ratio = 5% ÷ 10% = </w:t>
      </w:r>
      <w:r w:rsidRPr="00143B3F">
        <w:rPr>
          <w:b/>
          <w:bCs/>
        </w:rPr>
        <w:t>50%</w:t>
      </w:r>
    </w:p>
    <w:p w14:paraId="78F9C0D4" w14:textId="77777777" w:rsidR="00143B3F" w:rsidRPr="00143B3F" w:rsidRDefault="00143B3F" w:rsidP="00143B3F">
      <w:pPr>
        <w:numPr>
          <w:ilvl w:val="0"/>
          <w:numId w:val="1"/>
        </w:numPr>
      </w:pPr>
      <w:r w:rsidRPr="00143B3F">
        <w:rPr>
          <w:b/>
          <w:bCs/>
        </w:rPr>
        <w:t>Apply to Other Shock Levels:</w:t>
      </w:r>
    </w:p>
    <w:p w14:paraId="20678F30" w14:textId="77777777" w:rsidR="00143B3F" w:rsidRPr="00143B3F" w:rsidRDefault="00143B3F" w:rsidP="00143B3F">
      <w:pPr>
        <w:numPr>
          <w:ilvl w:val="1"/>
          <w:numId w:val="1"/>
        </w:numPr>
      </w:pPr>
      <w:r w:rsidRPr="00143B3F">
        <w:t xml:space="preserve">Multiply the </w:t>
      </w:r>
      <w:r w:rsidRPr="00143B3F">
        <w:rPr>
          <w:b/>
          <w:bCs/>
        </w:rPr>
        <w:t>Plansmith Default prepayment rate</w:t>
      </w:r>
      <w:r w:rsidRPr="00143B3F">
        <w:t xml:space="preserve"> at each rate shock level by your calculated ratio (50%) to estimate prepayments for each bucket.</w:t>
      </w:r>
    </w:p>
    <w:p w14:paraId="3FECD5D1" w14:textId="77777777" w:rsidR="00143B3F" w:rsidRPr="00143B3F" w:rsidRDefault="00143B3F" w:rsidP="00143B3F">
      <w:pPr>
        <w:numPr>
          <w:ilvl w:val="1"/>
          <w:numId w:val="1"/>
        </w:numPr>
      </w:pPr>
      <w:r w:rsidRPr="00143B3F">
        <w:t xml:space="preserve">This creates a </w:t>
      </w:r>
      <w:r w:rsidRPr="00143B3F">
        <w:rPr>
          <w:b/>
          <w:bCs/>
        </w:rPr>
        <w:t>scaled estimate</w:t>
      </w:r>
      <w:r w:rsidRPr="00143B3F">
        <w:t xml:space="preserve"> that mirrors the rate behavior implied by Plansmith defaults while tailoring it to your bank’s experience.</w:t>
      </w:r>
    </w:p>
    <w:p w14:paraId="7BD3814C" w14:textId="3C14DB91" w:rsidR="00143B3F" w:rsidRPr="00143B3F" w:rsidRDefault="00143B3F" w:rsidP="00143B3F">
      <w:pPr>
        <w:numPr>
          <w:ilvl w:val="0"/>
          <w:numId w:val="1"/>
        </w:numPr>
      </w:pPr>
      <w:r w:rsidRPr="00143B3F">
        <w:rPr>
          <w:b/>
          <w:bCs/>
        </w:rPr>
        <w:lastRenderedPageBreak/>
        <w:t xml:space="preserve">Review and Adjust Using Qualitative </w:t>
      </w:r>
      <w:r w:rsidR="009F5BB3">
        <w:rPr>
          <w:b/>
          <w:bCs/>
        </w:rPr>
        <w:t>Analysis</w:t>
      </w:r>
      <w:r w:rsidRPr="00143B3F">
        <w:rPr>
          <w:b/>
          <w:bCs/>
        </w:rPr>
        <w:t>:</w:t>
      </w:r>
      <w:r w:rsidR="009F5BB3" w:rsidRPr="009F5BB3">
        <w:rPr>
          <w:rFonts w:cstheme="minorHAnsi"/>
          <w:i/>
          <w:iCs/>
        </w:rPr>
        <w:t xml:space="preserve"> </w:t>
      </w:r>
      <w:r w:rsidR="009F5BB3" w:rsidRPr="009F5BB3">
        <w:rPr>
          <w:rFonts w:cstheme="minorHAnsi"/>
        </w:rPr>
        <w:t>Evaluate and revise the rates to be consistent with your bank management’s best estimates of how your loans might react.</w:t>
      </w:r>
    </w:p>
    <w:p w14:paraId="7C1440A9" w14:textId="77777777" w:rsidR="00143B3F" w:rsidRPr="00143B3F" w:rsidRDefault="00143B3F" w:rsidP="009F5BB3">
      <w:r w:rsidRPr="00143B3F">
        <w:t xml:space="preserve">Adjust the estimates to reflect </w:t>
      </w:r>
      <w:r w:rsidRPr="00143B3F">
        <w:rPr>
          <w:b/>
          <w:bCs/>
        </w:rPr>
        <w:t>management’s expectations</w:t>
      </w:r>
      <w:r w:rsidRPr="00143B3F">
        <w:t xml:space="preserve"> and experience with customer behavior under changing rate environments.</w:t>
      </w:r>
    </w:p>
    <w:p w14:paraId="76B181EF" w14:textId="62007E7B" w:rsidR="009F5BB3" w:rsidRPr="009F5BB3" w:rsidRDefault="009F5BB3" w:rsidP="00143B3F">
      <w:r>
        <w:rPr>
          <w:rFonts w:cstheme="minorHAnsi"/>
        </w:rPr>
        <w:t>I</w:t>
      </w:r>
      <w:r w:rsidRPr="009F5BB3">
        <w:rPr>
          <w:rFonts w:cstheme="minorHAnsi"/>
        </w:rPr>
        <w:t>t is appropriate to apply qualitative judgment to these calculations to make sure the bank is comfortable discussing the estimates with examiners</w:t>
      </w:r>
      <w:r>
        <w:rPr>
          <w:rFonts w:cstheme="minorHAnsi"/>
        </w:rPr>
        <w:t>.</w:t>
      </w:r>
    </w:p>
    <w:p w14:paraId="443B0C5A" w14:textId="3C6E8357" w:rsidR="00143B3F" w:rsidRPr="00143B3F" w:rsidRDefault="00000000" w:rsidP="00143B3F">
      <w:r>
        <w:pict w14:anchorId="01BFE2BE">
          <v:rect id="_x0000_i1026" style="width:0;height:1.5pt" o:hralign="center" o:hrstd="t" o:hr="t" fillcolor="#a0a0a0" stroked="f"/>
        </w:pict>
      </w:r>
    </w:p>
    <w:p w14:paraId="2855A905" w14:textId="77777777" w:rsidR="00143B3F" w:rsidRPr="00143B3F" w:rsidRDefault="00143B3F" w:rsidP="00143B3F">
      <w:pPr>
        <w:rPr>
          <w:b/>
          <w:bCs/>
        </w:rPr>
      </w:pPr>
      <w:r w:rsidRPr="00143B3F">
        <w:rPr>
          <w:b/>
          <w:bCs/>
        </w:rPr>
        <w:t>Implementing Estimates in RiskGPS</w:t>
      </w:r>
    </w:p>
    <w:p w14:paraId="2CFB1780" w14:textId="3F83188A" w:rsidR="00143B3F" w:rsidRPr="00143B3F" w:rsidRDefault="00143B3F" w:rsidP="009F5BB3">
      <w:r w:rsidRPr="00143B3F">
        <w:t xml:space="preserve">Once </w:t>
      </w:r>
      <w:r w:rsidR="009F5BB3">
        <w:t>estimates are finalized, e</w:t>
      </w:r>
      <w:r w:rsidRPr="00143B3F">
        <w:t xml:space="preserve">nter the calculated percentages into the corresponding </w:t>
      </w:r>
      <w:r w:rsidRPr="00143B3F">
        <w:rPr>
          <w:b/>
          <w:bCs/>
        </w:rPr>
        <w:t>“User Defined” boxes</w:t>
      </w:r>
      <w:r w:rsidRPr="00143B3F">
        <w:t xml:space="preserve"> for each rate shock level.</w:t>
      </w:r>
      <w:r w:rsidR="009F5BB3">
        <w:t xml:space="preserve"> </w:t>
      </w:r>
      <w:r w:rsidRPr="00143B3F">
        <w:t xml:space="preserve">Click </w:t>
      </w:r>
      <w:r w:rsidRPr="00143B3F">
        <w:rPr>
          <w:b/>
          <w:bCs/>
        </w:rPr>
        <w:t>“OK”</w:t>
      </w:r>
      <w:r w:rsidRPr="00143B3F">
        <w:t xml:space="preserve"> to register the changes.</w:t>
      </w:r>
    </w:p>
    <w:p w14:paraId="37C15C5F" w14:textId="77777777" w:rsidR="00143B3F" w:rsidRPr="00143B3F" w:rsidRDefault="00143B3F" w:rsidP="00143B3F">
      <w:r w:rsidRPr="00143B3F">
        <w:t xml:space="preserve">Upon saving, RiskGPS will redirect you to the </w:t>
      </w:r>
      <w:r w:rsidRPr="00143B3F">
        <w:rPr>
          <w:b/>
          <w:bCs/>
        </w:rPr>
        <w:t>Rate Sensitivity Gap</w:t>
      </w:r>
      <w:r w:rsidRPr="00143B3F">
        <w:t xml:space="preserve"> page.</w:t>
      </w:r>
    </w:p>
    <w:p w14:paraId="10017E4F" w14:textId="77777777" w:rsidR="00143B3F" w:rsidRPr="00143B3F" w:rsidRDefault="00143B3F" w:rsidP="00143B3F">
      <w:pPr>
        <w:rPr>
          <w:b/>
          <w:bCs/>
        </w:rPr>
      </w:pPr>
      <w:r w:rsidRPr="00143B3F">
        <w:rPr>
          <w:b/>
          <w:bCs/>
        </w:rPr>
        <w:t>Interpreting the Impact</w:t>
      </w:r>
    </w:p>
    <w:p w14:paraId="24574F5A" w14:textId="77777777" w:rsidR="00143B3F" w:rsidRPr="00143B3F" w:rsidRDefault="00143B3F" w:rsidP="00143B3F">
      <w:pPr>
        <w:numPr>
          <w:ilvl w:val="0"/>
          <w:numId w:val="3"/>
        </w:numPr>
      </w:pPr>
      <w:r w:rsidRPr="00143B3F">
        <w:rPr>
          <w:b/>
          <w:bCs/>
        </w:rPr>
        <w:t>Section 1</w:t>
      </w:r>
      <w:r w:rsidRPr="00143B3F">
        <w:t xml:space="preserve"> of the Gap Report:</w:t>
      </w:r>
      <w:r w:rsidRPr="00143B3F">
        <w:br/>
        <w:t xml:space="preserve">Remains unchanged, as it displays the </w:t>
      </w:r>
      <w:r w:rsidRPr="00143B3F">
        <w:rPr>
          <w:b/>
          <w:bCs/>
        </w:rPr>
        <w:t>original maturity distribution</w:t>
      </w:r>
      <w:r w:rsidRPr="00143B3F">
        <w:t xml:space="preserve"> of loans per call report data (no amortizations or prepayments applied).</w:t>
      </w:r>
    </w:p>
    <w:p w14:paraId="448C0171" w14:textId="77777777" w:rsidR="00143B3F" w:rsidRPr="00143B3F" w:rsidRDefault="00143B3F" w:rsidP="00143B3F">
      <w:pPr>
        <w:numPr>
          <w:ilvl w:val="0"/>
          <w:numId w:val="3"/>
        </w:numPr>
      </w:pPr>
      <w:r w:rsidRPr="00143B3F">
        <w:rPr>
          <w:b/>
          <w:bCs/>
        </w:rPr>
        <w:t>Section 2</w:t>
      </w:r>
      <w:r w:rsidRPr="00143B3F">
        <w:t xml:space="preserve"> of the Gap Report:</w:t>
      </w:r>
      <w:r w:rsidRPr="00143B3F">
        <w:br/>
        <w:t xml:space="preserve">Reflects the revised assumptions and shows how </w:t>
      </w:r>
      <w:r w:rsidRPr="00143B3F">
        <w:rPr>
          <w:b/>
          <w:bCs/>
        </w:rPr>
        <w:t>prepayment activity</w:t>
      </w:r>
      <w:r w:rsidRPr="00143B3F">
        <w:t xml:space="preserve"> alters the repricing structure.</w:t>
      </w:r>
    </w:p>
    <w:p w14:paraId="4A202C69" w14:textId="77777777" w:rsidR="00143B3F" w:rsidRPr="00143B3F" w:rsidRDefault="00000000" w:rsidP="00143B3F">
      <w:r>
        <w:pict w14:anchorId="396A4DB1">
          <v:rect id="_x0000_i1027" style="width:0;height:1.5pt" o:hralign="center" o:hrstd="t" o:hr="t" fillcolor="#a0a0a0" stroked="f"/>
        </w:pict>
      </w:r>
    </w:p>
    <w:p w14:paraId="4F54823F" w14:textId="77777777" w:rsidR="00143B3F" w:rsidRPr="00143B3F" w:rsidRDefault="00143B3F" w:rsidP="00143B3F">
      <w:pPr>
        <w:rPr>
          <w:b/>
          <w:bCs/>
        </w:rPr>
      </w:pPr>
      <w:r w:rsidRPr="00143B3F">
        <w:rPr>
          <w:b/>
          <w:bCs/>
        </w:rPr>
        <w:t>Recommended Follow-Up Analysis</w:t>
      </w:r>
    </w:p>
    <w:p w14:paraId="78159D60" w14:textId="77777777" w:rsidR="00143B3F" w:rsidRPr="00143B3F" w:rsidRDefault="00143B3F" w:rsidP="00143B3F">
      <w:r w:rsidRPr="00143B3F">
        <w:t>To evaluate the effect of the new prepayment assumptions:</w:t>
      </w:r>
    </w:p>
    <w:p w14:paraId="70435AB1" w14:textId="77777777" w:rsidR="00143B3F" w:rsidRPr="00143B3F" w:rsidRDefault="00143B3F" w:rsidP="00143B3F">
      <w:pPr>
        <w:numPr>
          <w:ilvl w:val="0"/>
          <w:numId w:val="4"/>
        </w:numPr>
      </w:pPr>
      <w:r w:rsidRPr="00143B3F">
        <w:t xml:space="preserve">Review the </w:t>
      </w:r>
      <w:r w:rsidRPr="00143B3F">
        <w:rPr>
          <w:b/>
          <w:bCs/>
        </w:rPr>
        <w:t>Rate Shocked Net Interest Margin (NIM)</w:t>
      </w:r>
      <w:r w:rsidRPr="00143B3F">
        <w:t xml:space="preserve"> page to compare results before and after applying the revised assumptions.</w:t>
      </w:r>
    </w:p>
    <w:p w14:paraId="62FB2B04" w14:textId="77777777" w:rsidR="00143B3F" w:rsidRPr="00143B3F" w:rsidRDefault="00143B3F" w:rsidP="00143B3F">
      <w:pPr>
        <w:numPr>
          <w:ilvl w:val="0"/>
          <w:numId w:val="4"/>
        </w:numPr>
      </w:pPr>
      <w:r w:rsidRPr="00143B3F">
        <w:t xml:space="preserve">Examine the </w:t>
      </w:r>
      <w:r w:rsidRPr="00143B3F">
        <w:rPr>
          <w:b/>
          <w:bCs/>
        </w:rPr>
        <w:t>Rate Shocked Economic Value of Equity (EVE)</w:t>
      </w:r>
      <w:r w:rsidRPr="00143B3F">
        <w:t xml:space="preserve"> section to assess the </w:t>
      </w:r>
      <w:r w:rsidRPr="00143B3F">
        <w:rPr>
          <w:b/>
          <w:bCs/>
        </w:rPr>
        <w:t>long-term capital impact</w:t>
      </w:r>
      <w:r w:rsidRPr="00143B3F">
        <w:t xml:space="preserve"> of the prepayment changes.</w:t>
      </w:r>
    </w:p>
    <w:p w14:paraId="58AE15E3" w14:textId="77777777" w:rsidR="00143B3F" w:rsidRPr="00143B3F" w:rsidRDefault="00000000" w:rsidP="00143B3F">
      <w:r>
        <w:pict w14:anchorId="3E3361C2">
          <v:rect id="_x0000_i1028" style="width:0;height:1.5pt" o:hralign="center" o:hrstd="t" o:hr="t" fillcolor="#a0a0a0" stroked="f"/>
        </w:pict>
      </w:r>
    </w:p>
    <w:p w14:paraId="298A92B6" w14:textId="77777777" w:rsidR="00143B3F" w:rsidRPr="00143B3F" w:rsidRDefault="00143B3F" w:rsidP="00143B3F">
      <w:pPr>
        <w:rPr>
          <w:b/>
          <w:bCs/>
        </w:rPr>
      </w:pPr>
      <w:r w:rsidRPr="00143B3F">
        <w:rPr>
          <w:b/>
          <w:bCs/>
        </w:rPr>
        <w:t>Conclusion</w:t>
      </w:r>
    </w:p>
    <w:p w14:paraId="4C01AB26" w14:textId="4B504585" w:rsidR="00B12EA2" w:rsidRDefault="00143B3F">
      <w:r w:rsidRPr="00143B3F">
        <w:t xml:space="preserve">Estimating prepayments for both parallel and non-parallel rate shocks </w:t>
      </w:r>
      <w:proofErr w:type="gramStart"/>
      <w:r w:rsidRPr="00143B3F">
        <w:t>requires</w:t>
      </w:r>
      <w:proofErr w:type="gramEnd"/>
      <w:r w:rsidRPr="00143B3F">
        <w:t xml:space="preserve"> a </w:t>
      </w:r>
      <w:r w:rsidRPr="00143B3F">
        <w:rPr>
          <w:b/>
          <w:bCs/>
        </w:rPr>
        <w:t>balanced approach</w:t>
      </w:r>
      <w:r w:rsidRPr="00143B3F">
        <w:t xml:space="preserve"> that combines historical analysis, regulatory benchmarks, and thoughtful </w:t>
      </w:r>
      <w:r w:rsidR="009F5BB3">
        <w:lastRenderedPageBreak/>
        <w:t>analysis</w:t>
      </w:r>
      <w:r w:rsidRPr="00143B3F">
        <w:t xml:space="preserve">. By incorporating realistic and well-supported assumptions into RiskGPS, your bank can present a more accurate picture of interest rate risk exposure to examiners and </w:t>
      </w:r>
      <w:r w:rsidR="009F5BB3">
        <w:t>the Board.</w:t>
      </w:r>
    </w:p>
    <w:sectPr w:rsidR="00B1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633C"/>
    <w:multiLevelType w:val="multilevel"/>
    <w:tmpl w:val="7768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41B8B"/>
    <w:multiLevelType w:val="multilevel"/>
    <w:tmpl w:val="90E0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21348"/>
    <w:multiLevelType w:val="multilevel"/>
    <w:tmpl w:val="BD9C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F498B"/>
    <w:multiLevelType w:val="multilevel"/>
    <w:tmpl w:val="552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596745">
    <w:abstractNumId w:val="2"/>
  </w:num>
  <w:num w:numId="2" w16cid:durableId="232937393">
    <w:abstractNumId w:val="0"/>
  </w:num>
  <w:num w:numId="3" w16cid:durableId="848716821">
    <w:abstractNumId w:val="3"/>
  </w:num>
  <w:num w:numId="4" w16cid:durableId="71296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3F"/>
    <w:rsid w:val="00143B3F"/>
    <w:rsid w:val="00216A2C"/>
    <w:rsid w:val="009F5BB3"/>
    <w:rsid w:val="00B12EA2"/>
    <w:rsid w:val="00BD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C1B5"/>
  <w15:chartTrackingRefBased/>
  <w15:docId w15:val="{4766EE4C-083B-4375-86DC-415A8E81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8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Kane</dc:creator>
  <cp:keywords/>
  <dc:description/>
  <cp:lastModifiedBy>Jenny Kane</cp:lastModifiedBy>
  <cp:revision>2</cp:revision>
  <dcterms:created xsi:type="dcterms:W3CDTF">2025-06-05T21:47:00Z</dcterms:created>
  <dcterms:modified xsi:type="dcterms:W3CDTF">2025-06-10T21:12:00Z</dcterms:modified>
</cp:coreProperties>
</file>