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845559" w14:textId="11466DA9" w:rsidR="001803A2" w:rsidRPr="00E920EF" w:rsidRDefault="00E920EF" w:rsidP="001803A2">
      <w:pPr>
        <w:spacing w:after="0"/>
        <w:ind w:right="80"/>
        <w:rPr>
          <w:rFonts w:cstheme="minorHAnsi"/>
          <w:b/>
          <w:bCs/>
          <w:u w:val="single"/>
        </w:rPr>
      </w:pPr>
      <w:bookmarkStart w:id="0" w:name="_Hlk194999870"/>
      <w:r w:rsidRPr="00E920EF">
        <w:rPr>
          <w:rFonts w:cstheme="minorHAnsi"/>
          <w:b/>
          <w:bCs/>
          <w:u w:val="single"/>
        </w:rPr>
        <w:t>RISKGPS USER’S GUIDE</w:t>
      </w:r>
    </w:p>
    <w:p w14:paraId="4CCAF466" w14:textId="77777777" w:rsidR="001803A2" w:rsidRPr="00ED5869" w:rsidRDefault="001803A2" w:rsidP="001803A2">
      <w:pPr>
        <w:spacing w:after="0"/>
        <w:ind w:right="80"/>
        <w:rPr>
          <w:rFonts w:cstheme="minorHAnsi"/>
        </w:rPr>
      </w:pPr>
    </w:p>
    <w:p w14:paraId="210EC852" w14:textId="422164F2" w:rsidR="001803A2" w:rsidRPr="00ED5869" w:rsidRDefault="00E920EF" w:rsidP="001803A2">
      <w:pPr>
        <w:spacing w:after="0"/>
        <w:ind w:right="80"/>
        <w:rPr>
          <w:rFonts w:cstheme="minorHAnsi"/>
        </w:rPr>
      </w:pPr>
      <w:r w:rsidRPr="00ED5869">
        <w:rPr>
          <w:rFonts w:cstheme="minorHAnsi"/>
        </w:rPr>
        <w:t>RiskGPS is an efficient, cost effective</w:t>
      </w:r>
      <w:r>
        <w:rPr>
          <w:rFonts w:cstheme="minorHAnsi"/>
        </w:rPr>
        <w:t>,</w:t>
      </w:r>
      <w:r w:rsidRPr="00ED5869">
        <w:rPr>
          <w:rFonts w:cstheme="minorHAnsi"/>
        </w:rPr>
        <w:t xml:space="preserve"> and informative Interest Rate Risk analysis tool for less complicated community banks. </w:t>
      </w:r>
      <w:r>
        <w:rPr>
          <w:rFonts w:cstheme="minorHAnsi"/>
        </w:rPr>
        <w:t xml:space="preserve">It was </w:t>
      </w:r>
      <w:r w:rsidRPr="00ED5869">
        <w:rPr>
          <w:rFonts w:cstheme="minorHAnsi"/>
        </w:rPr>
        <w:t xml:space="preserve">built to provide bankers with an analysis of the impact that changing interest rates could have on the bank’s financial performance and the potential for loss. </w:t>
      </w:r>
      <w:r w:rsidRPr="00CA7A37">
        <w:rPr>
          <w:rFonts w:cstheme="minorHAnsi"/>
          <w:i/>
          <w:iCs/>
        </w:rPr>
        <w:t xml:space="preserve">The analysis uses regulatory methodologies to arrive at reasonable approximations of the impact of changing rates on a static balance sheet. </w:t>
      </w:r>
      <w:r w:rsidR="00CA7A37" w:rsidRPr="00CA7A37">
        <w:rPr>
          <w:rFonts w:cstheme="minorHAnsi"/>
        </w:rPr>
        <w:t>A</w:t>
      </w:r>
      <w:r w:rsidRPr="00CA7A37">
        <w:rPr>
          <w:rFonts w:cstheme="minorHAnsi"/>
        </w:rPr>
        <w:t xml:space="preserve"> </w:t>
      </w:r>
      <w:r w:rsidRPr="00ED5869">
        <w:rPr>
          <w:rFonts w:cstheme="minorHAnsi"/>
        </w:rPr>
        <w:t xml:space="preserve">Performance Forecast was added to provide a more meaningful report of the potential changes to the bottom-line, four quarters from the current quarter. </w:t>
      </w:r>
      <w:r w:rsidR="001803A2" w:rsidRPr="00CA7A37">
        <w:rPr>
          <w:rFonts w:cstheme="minorHAnsi"/>
          <w:i/>
          <w:iCs/>
        </w:rPr>
        <w:t>The RiskGPS report</w:t>
      </w:r>
      <w:r w:rsidRPr="00CA7A37">
        <w:rPr>
          <w:rFonts w:cstheme="minorHAnsi"/>
          <w:i/>
          <w:iCs/>
        </w:rPr>
        <w:t xml:space="preserve">, </w:t>
      </w:r>
      <w:r w:rsidR="001803A2" w:rsidRPr="00CA7A37">
        <w:rPr>
          <w:rFonts w:cstheme="minorHAnsi"/>
          <w:i/>
          <w:iCs/>
        </w:rPr>
        <w:t>in conjunction with bank policy</w:t>
      </w:r>
      <w:r w:rsidRPr="00CA7A37">
        <w:rPr>
          <w:rFonts w:cstheme="minorHAnsi"/>
          <w:i/>
          <w:iCs/>
        </w:rPr>
        <w:t xml:space="preserve">, </w:t>
      </w:r>
      <w:r w:rsidR="001803A2" w:rsidRPr="00CA7A37">
        <w:rPr>
          <w:rFonts w:cstheme="minorHAnsi"/>
          <w:i/>
          <w:iCs/>
        </w:rPr>
        <w:t>measures, monitors, and allows actions to be taken to control the bank’s financial exposure.</w:t>
      </w:r>
    </w:p>
    <w:p w14:paraId="4F27B9DF" w14:textId="77777777" w:rsidR="001803A2" w:rsidRPr="00ED5869" w:rsidRDefault="001803A2" w:rsidP="001803A2">
      <w:pPr>
        <w:spacing w:after="0"/>
        <w:ind w:right="80"/>
        <w:rPr>
          <w:rFonts w:cstheme="minorHAnsi"/>
        </w:rPr>
      </w:pPr>
    </w:p>
    <w:p w14:paraId="58584332" w14:textId="55E9AF01" w:rsidR="001803A2" w:rsidRPr="008F25B7" w:rsidRDefault="001803A2" w:rsidP="001803A2">
      <w:pPr>
        <w:spacing w:after="0"/>
        <w:ind w:right="80"/>
        <w:rPr>
          <w:rFonts w:cstheme="minorHAnsi"/>
          <w:i/>
          <w:iCs/>
        </w:rPr>
      </w:pPr>
      <w:r w:rsidRPr="008F25B7">
        <w:rPr>
          <w:rFonts w:cstheme="minorHAnsi"/>
          <w:i/>
          <w:iCs/>
        </w:rPr>
        <w:t>RiskGPS asks – and answers – the two questions that are imperative in measuring and managing your bank’s interest rate risk on an ongoing basis:</w:t>
      </w:r>
    </w:p>
    <w:p w14:paraId="4D16BDB0" w14:textId="77777777" w:rsidR="001803A2" w:rsidRPr="008F25B7" w:rsidRDefault="001803A2" w:rsidP="001803A2">
      <w:pPr>
        <w:pStyle w:val="ListParagraph"/>
        <w:numPr>
          <w:ilvl w:val="0"/>
          <w:numId w:val="22"/>
        </w:numPr>
        <w:spacing w:after="0"/>
        <w:ind w:right="80"/>
        <w:rPr>
          <w:rFonts w:cstheme="minorHAnsi"/>
          <w:i/>
          <w:iCs/>
        </w:rPr>
      </w:pPr>
      <w:r w:rsidRPr="008F25B7">
        <w:rPr>
          <w:rFonts w:cstheme="minorHAnsi"/>
          <w:i/>
          <w:iCs/>
        </w:rPr>
        <w:t>How will the Net Interest Margin from the bank’s current balance sheet change in the next year if interest rates are unchanged and how would this estimate be affected by different rate conditions?</w:t>
      </w:r>
    </w:p>
    <w:p w14:paraId="7C77F1AF" w14:textId="77777777" w:rsidR="001803A2" w:rsidRPr="008F25B7" w:rsidRDefault="001803A2" w:rsidP="001803A2">
      <w:pPr>
        <w:pStyle w:val="ListParagraph"/>
        <w:numPr>
          <w:ilvl w:val="0"/>
          <w:numId w:val="22"/>
        </w:numPr>
        <w:spacing w:after="0"/>
        <w:ind w:right="80"/>
        <w:rPr>
          <w:rFonts w:cstheme="minorHAnsi"/>
          <w:i/>
          <w:iCs/>
        </w:rPr>
      </w:pPr>
      <w:r w:rsidRPr="008F25B7">
        <w:rPr>
          <w:rFonts w:cstheme="minorHAnsi"/>
          <w:i/>
          <w:iCs/>
        </w:rPr>
        <w:t>What would happen to the market values of the bank’s assets and liabilities and, by subtraction, the market value of the bank’s equity, at varying interest rates?</w:t>
      </w:r>
    </w:p>
    <w:p w14:paraId="207FC43B" w14:textId="77777777" w:rsidR="001803A2" w:rsidRPr="00ED5869" w:rsidRDefault="001803A2" w:rsidP="001803A2">
      <w:pPr>
        <w:spacing w:after="0"/>
        <w:ind w:right="80"/>
        <w:rPr>
          <w:rFonts w:cstheme="minorHAnsi"/>
        </w:rPr>
      </w:pPr>
    </w:p>
    <w:p w14:paraId="6097D66F" w14:textId="418F32B7" w:rsidR="001803A2" w:rsidRPr="00ED5869" w:rsidRDefault="001803A2" w:rsidP="001803A2">
      <w:pPr>
        <w:spacing w:after="0"/>
        <w:ind w:right="80"/>
        <w:rPr>
          <w:rFonts w:cstheme="minorHAnsi"/>
        </w:rPr>
      </w:pPr>
      <w:r w:rsidRPr="00ED5869">
        <w:rPr>
          <w:rFonts w:cstheme="minorHAnsi"/>
        </w:rPr>
        <w:t xml:space="preserve">The first question addresses the traditional definition of “interest rate risk”, applying differing relative rate sensitivities to the maturity schedule of each balance sheet category and subjecting the whole to changing rates through an immediate and contract “shock”, </w:t>
      </w:r>
      <w:r w:rsidR="008F25B7" w:rsidRPr="00ED5869">
        <w:rPr>
          <w:rFonts w:cstheme="minorHAnsi"/>
        </w:rPr>
        <w:t>most used</w:t>
      </w:r>
      <w:r w:rsidRPr="00ED5869">
        <w:rPr>
          <w:rFonts w:cstheme="minorHAnsi"/>
        </w:rPr>
        <w:t xml:space="preserve"> in regulatory reporting.</w:t>
      </w:r>
    </w:p>
    <w:p w14:paraId="3C0A59B5" w14:textId="77777777" w:rsidR="001803A2" w:rsidRPr="00ED5869" w:rsidRDefault="001803A2" w:rsidP="001803A2">
      <w:pPr>
        <w:spacing w:after="0"/>
        <w:ind w:right="80"/>
        <w:rPr>
          <w:rFonts w:cstheme="minorHAnsi"/>
        </w:rPr>
      </w:pPr>
    </w:p>
    <w:p w14:paraId="7420587B" w14:textId="70BEFF3F" w:rsidR="001803A2" w:rsidRPr="00ED5869" w:rsidRDefault="001803A2" w:rsidP="001803A2">
      <w:pPr>
        <w:spacing w:after="0"/>
        <w:ind w:right="80"/>
        <w:rPr>
          <w:rFonts w:cstheme="minorHAnsi"/>
        </w:rPr>
      </w:pPr>
      <w:r w:rsidRPr="00ED5869">
        <w:rPr>
          <w:rFonts w:cstheme="minorHAnsi"/>
        </w:rPr>
        <w:t xml:space="preserve">The second recognizes that changing interest rates affect equity and liability, the bank’s two sources of strength and viability, as well as short-term income. RiskGPS incorporates the most modern techniques to evaluate the resilience of the bank’s structure and reports its Economic Value of Equity (EVE) risk estimate in clear, transparent terms. This includes an evaluation of the before-and-after capacity of the bank </w:t>
      </w:r>
      <w:r w:rsidR="008F25B7" w:rsidRPr="00ED5869">
        <w:rPr>
          <w:rFonts w:cstheme="minorHAnsi"/>
        </w:rPr>
        <w:t>in</w:t>
      </w:r>
      <w:r w:rsidRPr="00ED5869">
        <w:rPr>
          <w:rFonts w:cstheme="minorHAnsi"/>
        </w:rPr>
        <w:t xml:space="preserve"> comparison to policy limits set by the Board of Directors.</w:t>
      </w:r>
    </w:p>
    <w:p w14:paraId="17EF5DD3" w14:textId="77777777" w:rsidR="001803A2" w:rsidRPr="00ED5869" w:rsidRDefault="001803A2" w:rsidP="001803A2">
      <w:pPr>
        <w:spacing w:after="0"/>
        <w:ind w:right="80"/>
        <w:rPr>
          <w:rFonts w:cstheme="minorHAnsi"/>
        </w:rPr>
      </w:pPr>
    </w:p>
    <w:p w14:paraId="54EF13EF" w14:textId="0CE68E2F" w:rsidR="001803A2" w:rsidRPr="00ED5869" w:rsidRDefault="001803A2" w:rsidP="001803A2">
      <w:pPr>
        <w:spacing w:after="0"/>
        <w:ind w:right="80"/>
        <w:rPr>
          <w:rFonts w:cstheme="minorHAnsi"/>
        </w:rPr>
      </w:pPr>
      <w:r w:rsidRPr="00ED5869">
        <w:rPr>
          <w:rFonts w:cstheme="minorHAnsi"/>
        </w:rPr>
        <w:t>Plansmith professionals can help you develop trends in these two key areas, and because we have experience working with many institutions, we make available a broad range of alternatives and solutions to help you guide your bank to a successful future.</w:t>
      </w:r>
    </w:p>
    <w:p w14:paraId="72DC9F13" w14:textId="77777777" w:rsidR="001803A2" w:rsidRPr="00ED5869" w:rsidRDefault="001803A2" w:rsidP="001803A2">
      <w:pPr>
        <w:spacing w:after="0"/>
        <w:ind w:right="80"/>
        <w:rPr>
          <w:rFonts w:cstheme="minorHAnsi"/>
        </w:rPr>
      </w:pPr>
    </w:p>
    <w:p w14:paraId="14CF8149" w14:textId="77777777" w:rsidR="001803A2" w:rsidRPr="008F25B7" w:rsidRDefault="001803A2" w:rsidP="001803A2">
      <w:pPr>
        <w:spacing w:after="0"/>
        <w:ind w:right="80"/>
        <w:rPr>
          <w:rFonts w:cstheme="minorHAnsi"/>
          <w:b/>
          <w:bCs/>
        </w:rPr>
      </w:pPr>
      <w:r w:rsidRPr="008F25B7">
        <w:rPr>
          <w:rFonts w:cstheme="minorHAnsi"/>
          <w:b/>
          <w:bCs/>
        </w:rPr>
        <w:t>Data Source</w:t>
      </w:r>
    </w:p>
    <w:p w14:paraId="779F77DA" w14:textId="03E94831" w:rsidR="001803A2" w:rsidRDefault="001803A2" w:rsidP="001803A2">
      <w:pPr>
        <w:spacing w:after="0"/>
        <w:ind w:right="80"/>
        <w:rPr>
          <w:rFonts w:cstheme="minorHAnsi"/>
        </w:rPr>
      </w:pPr>
      <w:r w:rsidRPr="00ED5869">
        <w:rPr>
          <w:rFonts w:cstheme="minorHAnsi"/>
        </w:rPr>
        <w:t>The system utilizes data from Call Reports filed by your bank with the government each quarter.   Although the data is less detailed than could be obtained from other sources (i.e., your bank’s accounting system), it is still useful in analyzing your bank’s interest rate risk. The program modifies and adjusts call report information to prepare it for the analysis. For most small to medium-sized, less complicated community banks, there is enough information contained in Call Report data to generate reasonable answers to those two key questions.</w:t>
      </w:r>
    </w:p>
    <w:p w14:paraId="6E44C89E" w14:textId="77777777" w:rsidR="008F25B7" w:rsidRPr="00ED5869" w:rsidRDefault="008F25B7" w:rsidP="001803A2">
      <w:pPr>
        <w:spacing w:after="0"/>
        <w:ind w:right="80"/>
        <w:rPr>
          <w:rFonts w:cstheme="minorHAnsi"/>
        </w:rPr>
      </w:pPr>
    </w:p>
    <w:p w14:paraId="3BC5D816" w14:textId="77777777" w:rsidR="001803A2" w:rsidRPr="00ED5869" w:rsidRDefault="001803A2" w:rsidP="001803A2">
      <w:pPr>
        <w:spacing w:after="0"/>
        <w:ind w:right="80"/>
        <w:rPr>
          <w:rFonts w:cstheme="minorHAnsi"/>
        </w:rPr>
      </w:pPr>
      <w:r w:rsidRPr="00ED5869">
        <w:rPr>
          <w:rFonts w:cstheme="minorHAnsi"/>
        </w:rPr>
        <w:lastRenderedPageBreak/>
        <w:t>As a bank’s balance sheet or product mix becomes more complex, a more sophisticated program that allows for more granularity in the data will become a necessity and the banker will be encouraged to upgrade to a more robust ALM system like Plansmith’s Financial Compass©.</w:t>
      </w:r>
    </w:p>
    <w:p w14:paraId="01AC744F" w14:textId="77777777" w:rsidR="001803A2" w:rsidRDefault="001803A2" w:rsidP="001803A2">
      <w:pPr>
        <w:spacing w:after="0"/>
        <w:ind w:right="80"/>
        <w:rPr>
          <w:rFonts w:cstheme="minorHAnsi"/>
        </w:rPr>
      </w:pPr>
    </w:p>
    <w:p w14:paraId="7CE0BFD7" w14:textId="384CCF4D" w:rsidR="001803A2" w:rsidRPr="008F25B7" w:rsidRDefault="008F25B7" w:rsidP="001803A2">
      <w:pPr>
        <w:spacing w:after="0"/>
        <w:ind w:right="80"/>
        <w:rPr>
          <w:rFonts w:cstheme="minorHAnsi"/>
          <w:b/>
          <w:bCs/>
        </w:rPr>
      </w:pPr>
      <w:r>
        <w:rPr>
          <w:rFonts w:cstheme="minorHAnsi"/>
          <w:b/>
          <w:bCs/>
        </w:rPr>
        <w:t>About th</w:t>
      </w:r>
      <w:r w:rsidR="001803A2" w:rsidRPr="008F25B7">
        <w:rPr>
          <w:rFonts w:cstheme="minorHAnsi"/>
          <w:b/>
          <w:bCs/>
        </w:rPr>
        <w:t>e Analysis</w:t>
      </w:r>
    </w:p>
    <w:p w14:paraId="552C94DD" w14:textId="77777777" w:rsidR="001803A2" w:rsidRPr="00ED5869" w:rsidRDefault="001803A2" w:rsidP="001803A2">
      <w:pPr>
        <w:spacing w:after="0"/>
        <w:ind w:right="80"/>
        <w:rPr>
          <w:rFonts w:cstheme="minorHAnsi"/>
        </w:rPr>
      </w:pPr>
      <w:r w:rsidRPr="008F25B7">
        <w:rPr>
          <w:rFonts w:cstheme="minorHAnsi"/>
          <w:i/>
          <w:iCs/>
        </w:rPr>
        <w:t>The interest rate risk measurement methods recommended and/or required by bank examiners mandate two views of the bank’s position: the short-term income impact, and the long-term perspective as seen in the potential change to the bank’s Economic Value of Equity (EVE).</w:t>
      </w:r>
      <w:r w:rsidRPr="00ED5869">
        <w:rPr>
          <w:rFonts w:cstheme="minorHAnsi"/>
        </w:rPr>
        <w:t xml:space="preserve"> At its heart, RiskGPS provides results to meet these criteria. It is not the position of this program to recommend either but, rather, to do the math, report the results and meet regulatory guidelines for acceptability.</w:t>
      </w:r>
    </w:p>
    <w:p w14:paraId="2A57C292" w14:textId="77777777" w:rsidR="001803A2" w:rsidRPr="00ED5869" w:rsidRDefault="001803A2" w:rsidP="001803A2">
      <w:pPr>
        <w:spacing w:after="0"/>
        <w:ind w:right="80"/>
        <w:rPr>
          <w:rFonts w:cstheme="minorHAnsi"/>
        </w:rPr>
      </w:pPr>
    </w:p>
    <w:p w14:paraId="03D01E2E" w14:textId="68141B46" w:rsidR="001803A2" w:rsidRPr="00ED5869" w:rsidRDefault="001803A2" w:rsidP="001803A2">
      <w:pPr>
        <w:spacing w:after="0"/>
        <w:ind w:right="80"/>
        <w:rPr>
          <w:rFonts w:cstheme="minorHAnsi"/>
        </w:rPr>
      </w:pPr>
      <w:r w:rsidRPr="008F25B7">
        <w:rPr>
          <w:rFonts w:cstheme="minorHAnsi"/>
          <w:i/>
          <w:iCs/>
        </w:rPr>
        <w:t>The short-term risk to Net Interest Income (NII) is analyzed using two methods, Rate Sensitivity Gap and simulation of net interest income over nine rate scenarios (up and down 400bp</w:t>
      </w:r>
      <w:r w:rsidR="008F25B7" w:rsidRPr="008F25B7">
        <w:rPr>
          <w:rFonts w:cstheme="minorHAnsi"/>
          <w:i/>
          <w:iCs/>
        </w:rPr>
        <w:t xml:space="preserve"> </w:t>
      </w:r>
      <w:r w:rsidRPr="008F25B7">
        <w:rPr>
          <w:rFonts w:cstheme="minorHAnsi"/>
          <w:i/>
          <w:iCs/>
        </w:rPr>
        <w:t xml:space="preserve">and </w:t>
      </w:r>
      <w:r w:rsidR="008F25B7" w:rsidRPr="008F25B7">
        <w:rPr>
          <w:rFonts w:cstheme="minorHAnsi"/>
          <w:i/>
          <w:iCs/>
        </w:rPr>
        <w:t xml:space="preserve">the </w:t>
      </w:r>
      <w:r w:rsidRPr="008F25B7">
        <w:rPr>
          <w:rFonts w:cstheme="minorHAnsi"/>
          <w:i/>
          <w:iCs/>
        </w:rPr>
        <w:t>current</w:t>
      </w:r>
      <w:r w:rsidR="008F25B7" w:rsidRPr="008F25B7">
        <w:rPr>
          <w:rFonts w:cstheme="minorHAnsi"/>
          <w:i/>
          <w:iCs/>
        </w:rPr>
        <w:t xml:space="preserve"> (zero) </w:t>
      </w:r>
      <w:r w:rsidRPr="008F25B7">
        <w:rPr>
          <w:rFonts w:cstheme="minorHAnsi"/>
          <w:i/>
          <w:iCs/>
        </w:rPr>
        <w:t>point).</w:t>
      </w:r>
      <w:r w:rsidRPr="00ED5869">
        <w:rPr>
          <w:rFonts w:cstheme="minorHAnsi"/>
        </w:rPr>
        <w:t xml:space="preserve"> The efficiency of these methods has been practiced and accepted by banks and examiners alike for many years.</w:t>
      </w:r>
    </w:p>
    <w:p w14:paraId="62227498" w14:textId="77777777" w:rsidR="001803A2" w:rsidRPr="00ED5869" w:rsidRDefault="001803A2" w:rsidP="001803A2">
      <w:pPr>
        <w:spacing w:after="0"/>
        <w:ind w:right="80"/>
        <w:rPr>
          <w:rFonts w:cstheme="minorHAnsi"/>
        </w:rPr>
      </w:pPr>
    </w:p>
    <w:p w14:paraId="5EDFD9A9" w14:textId="212AD499" w:rsidR="001803A2" w:rsidRPr="00ED5869" w:rsidRDefault="001803A2" w:rsidP="001803A2">
      <w:pPr>
        <w:spacing w:after="0"/>
        <w:ind w:right="80"/>
        <w:rPr>
          <w:rFonts w:cstheme="minorHAnsi"/>
        </w:rPr>
      </w:pPr>
      <w:r w:rsidRPr="008F25B7">
        <w:rPr>
          <w:rFonts w:cstheme="minorHAnsi"/>
          <w:i/>
          <w:iCs/>
        </w:rPr>
        <w:t xml:space="preserve">The long-term risk is measured in terms of the potential change in the bank’s EVE, also referred to as Market Value of Equity (MVE). </w:t>
      </w:r>
      <w:r w:rsidRPr="00ED5869">
        <w:rPr>
          <w:rFonts w:cstheme="minorHAnsi"/>
        </w:rPr>
        <w:t xml:space="preserve">This value is </w:t>
      </w:r>
      <w:r w:rsidR="008F25B7" w:rsidRPr="00ED5869">
        <w:rPr>
          <w:rFonts w:cstheme="minorHAnsi"/>
        </w:rPr>
        <w:t>the</w:t>
      </w:r>
      <w:r w:rsidRPr="00ED5869">
        <w:rPr>
          <w:rFonts w:cstheme="minorHAnsi"/>
        </w:rPr>
        <w:t xml:space="preserve"> market value. </w:t>
      </w:r>
      <w:r w:rsidRPr="008F25B7">
        <w:rPr>
          <w:rFonts w:cstheme="minorHAnsi"/>
          <w:i/>
          <w:iCs/>
        </w:rPr>
        <w:t>This method calculates the mark-to-market value of each side of the balance sheet, and by subtraction, determines the market value of the bank should it be sold off in pieces.</w:t>
      </w:r>
      <w:r w:rsidRPr="00ED5869">
        <w:rPr>
          <w:rFonts w:cstheme="minorHAnsi"/>
        </w:rPr>
        <w:t xml:space="preserve"> It is important to note that </w:t>
      </w:r>
      <w:r w:rsidRPr="008F25B7">
        <w:rPr>
          <w:rFonts w:cstheme="minorHAnsi"/>
          <w:i/>
          <w:iCs/>
        </w:rPr>
        <w:t>this does not yield a traditional or even accurate measure of the bank’s value, as it would be seen in a sale or merger context.</w:t>
      </w:r>
      <w:r w:rsidRPr="00ED5869">
        <w:rPr>
          <w:rFonts w:cstheme="minorHAnsi"/>
        </w:rPr>
        <w:t xml:space="preserve"> See additional content in this User’s Guide for more detail on how we calculate market and market values.</w:t>
      </w:r>
    </w:p>
    <w:p w14:paraId="4CAE1E8E" w14:textId="77777777" w:rsidR="001803A2" w:rsidRPr="00ED5869" w:rsidRDefault="001803A2" w:rsidP="001803A2">
      <w:pPr>
        <w:spacing w:after="0"/>
        <w:ind w:right="80"/>
        <w:rPr>
          <w:rFonts w:cstheme="minorHAnsi"/>
        </w:rPr>
      </w:pPr>
    </w:p>
    <w:p w14:paraId="4ED71895" w14:textId="4C06A8A7" w:rsidR="001803A2" w:rsidRPr="008F25B7" w:rsidRDefault="008F25B7" w:rsidP="001803A2">
      <w:pPr>
        <w:spacing w:after="0"/>
        <w:ind w:right="80"/>
        <w:rPr>
          <w:rFonts w:cstheme="minorHAnsi"/>
          <w:b/>
          <w:bCs/>
        </w:rPr>
      </w:pPr>
      <w:r>
        <w:rPr>
          <w:rFonts w:cstheme="minorHAnsi"/>
          <w:b/>
          <w:bCs/>
        </w:rPr>
        <w:t>About t</w:t>
      </w:r>
      <w:r w:rsidR="001803A2" w:rsidRPr="008F25B7">
        <w:rPr>
          <w:rFonts w:cstheme="minorHAnsi"/>
          <w:b/>
          <w:bCs/>
        </w:rPr>
        <w:t>he Report</w:t>
      </w:r>
    </w:p>
    <w:p w14:paraId="2CD6F4A8" w14:textId="19A8987B" w:rsidR="001803A2" w:rsidRPr="00ED5869" w:rsidRDefault="001803A2" w:rsidP="001803A2">
      <w:pPr>
        <w:spacing w:after="0"/>
        <w:ind w:right="80"/>
        <w:rPr>
          <w:rFonts w:cstheme="minorHAnsi"/>
        </w:rPr>
      </w:pPr>
      <w:r w:rsidRPr="00ED5869">
        <w:rPr>
          <w:rFonts w:cstheme="minorHAnsi"/>
        </w:rPr>
        <w:t xml:space="preserve">The actual RiskGPS report has been designed to appear as a book, with narratives, tabular results, and charts. This allows for greater clarity and demonstrates cause-and-effect relationships. It has a beginning (historical trend views), a middle (the actual risk on the current balance sheet), and an end (the Performance Forecast). This is done to make it more comfortable to read, less daunting than a sheaf of </w:t>
      </w:r>
      <w:r w:rsidR="008F25B7" w:rsidRPr="00ED5869">
        <w:rPr>
          <w:rFonts w:cstheme="minorHAnsi"/>
        </w:rPr>
        <w:t>paper</w:t>
      </w:r>
      <w:r w:rsidRPr="00ED5869">
        <w:rPr>
          <w:rFonts w:cstheme="minorHAnsi"/>
        </w:rPr>
        <w:t xml:space="preserve"> covered with numerical tables, and to help the non-accountant/analyst or Board Member understand the potential gains and losses in the bank’s position as rates change.</w:t>
      </w:r>
    </w:p>
    <w:p w14:paraId="4D74936B" w14:textId="77777777" w:rsidR="001803A2" w:rsidRPr="00ED5869" w:rsidRDefault="001803A2" w:rsidP="001803A2">
      <w:pPr>
        <w:spacing w:after="0"/>
        <w:ind w:right="80"/>
        <w:rPr>
          <w:rFonts w:cstheme="minorHAnsi"/>
        </w:rPr>
      </w:pPr>
    </w:p>
    <w:p w14:paraId="0C48472B" w14:textId="34926C84" w:rsidR="001803A2" w:rsidRPr="00ED5869" w:rsidRDefault="001803A2" w:rsidP="001803A2">
      <w:pPr>
        <w:spacing w:after="0"/>
        <w:ind w:right="80"/>
        <w:rPr>
          <w:rFonts w:cstheme="minorHAnsi"/>
        </w:rPr>
      </w:pPr>
      <w:r w:rsidRPr="00ED5869">
        <w:rPr>
          <w:rFonts w:cstheme="minorHAnsi"/>
        </w:rPr>
        <w:t>There is a one-page Executive Summary that provides a quick review of all the analysis results. At the top of this page, you will see the bank’s current position and performance results. The next section shows the bank’s risk position with respect to the rate change that will cause declining income or equity loss; in other words; the “high-risk” rate environment for the bank. Lastly, the bottom section of the Summary shows a projection of the bank’s performance over the next four quarters based on prior quarter’s trends and current assumptions.</w:t>
      </w:r>
    </w:p>
    <w:p w14:paraId="4BDEE130" w14:textId="77777777" w:rsidR="001803A2" w:rsidRPr="00ED5869" w:rsidRDefault="001803A2" w:rsidP="001803A2">
      <w:pPr>
        <w:spacing w:after="0"/>
        <w:ind w:right="80"/>
        <w:rPr>
          <w:rFonts w:cstheme="minorHAnsi"/>
        </w:rPr>
      </w:pPr>
    </w:p>
    <w:p w14:paraId="4071BA7D" w14:textId="77777777" w:rsidR="001803A2" w:rsidRPr="00ED5869" w:rsidRDefault="001803A2" w:rsidP="001803A2">
      <w:pPr>
        <w:spacing w:after="0"/>
        <w:ind w:right="80"/>
        <w:rPr>
          <w:rFonts w:cstheme="minorHAnsi"/>
        </w:rPr>
      </w:pPr>
      <w:r w:rsidRPr="00ED5869">
        <w:rPr>
          <w:rFonts w:cstheme="minorHAnsi"/>
        </w:rPr>
        <w:t xml:space="preserve">Immediately following the Executive Summary, several pages present historical data, balance sheets, income statements, and yield &amp; cost reports, all to help the reader put the bank’s progress into perspective, as well as to provide a quick “data consistency” review. In reviewing these pages, you can </w:t>
      </w:r>
      <w:r w:rsidRPr="00ED5869">
        <w:rPr>
          <w:rFonts w:cstheme="minorHAnsi"/>
        </w:rPr>
        <w:lastRenderedPageBreak/>
        <w:t>quickly see changes that may suggest trends and any data issues that should be resolved before accepting the results.</w:t>
      </w:r>
    </w:p>
    <w:p w14:paraId="660C3542" w14:textId="77777777" w:rsidR="001803A2" w:rsidRPr="00ED5869" w:rsidRDefault="001803A2" w:rsidP="001803A2">
      <w:pPr>
        <w:spacing w:after="0"/>
        <w:ind w:right="80"/>
        <w:rPr>
          <w:rFonts w:cstheme="minorHAnsi"/>
        </w:rPr>
      </w:pPr>
    </w:p>
    <w:p w14:paraId="7D641BBC" w14:textId="77777777" w:rsidR="001803A2" w:rsidRPr="00ED5869" w:rsidRDefault="001803A2" w:rsidP="001803A2">
      <w:pPr>
        <w:spacing w:after="0"/>
        <w:ind w:right="80"/>
        <w:rPr>
          <w:rFonts w:cstheme="minorHAnsi"/>
        </w:rPr>
      </w:pPr>
      <w:r w:rsidRPr="00ED5869">
        <w:rPr>
          <w:rFonts w:cstheme="minorHAnsi"/>
        </w:rPr>
        <w:t>The main body of the report - the actual analysis - is the keystone of the entire risk analysis system. It is where the work is done and the analysis for each method is presented concisely, yet in adequate detail. The program attempts to establish a benchmark against which the results of the analyses can be compared, prepares the data for analysis, and finally, shows the analysis itself.</w:t>
      </w:r>
    </w:p>
    <w:p w14:paraId="0488F7AF" w14:textId="77777777" w:rsidR="001803A2" w:rsidRPr="00ED5869" w:rsidRDefault="001803A2" w:rsidP="001803A2">
      <w:pPr>
        <w:spacing w:after="0"/>
        <w:ind w:right="80"/>
        <w:rPr>
          <w:rFonts w:cstheme="minorHAnsi"/>
        </w:rPr>
      </w:pPr>
    </w:p>
    <w:p w14:paraId="159295C5" w14:textId="6A714B87" w:rsidR="001803A2" w:rsidRPr="00ED5869" w:rsidRDefault="001803A2" w:rsidP="001803A2">
      <w:pPr>
        <w:spacing w:after="0"/>
        <w:ind w:right="80"/>
        <w:rPr>
          <w:rFonts w:cstheme="minorHAnsi"/>
        </w:rPr>
      </w:pPr>
      <w:r w:rsidRPr="00ED5869">
        <w:rPr>
          <w:rFonts w:cstheme="minorHAnsi"/>
        </w:rPr>
        <w:t xml:space="preserve">The subsequent pages of the report are a recap of the assumptions you input into the Assumption pages and then used in the calculations, as well as estimates that show the defaults versus any user inputs or changes to the defaults. This helps the reader better understand the components of the </w:t>
      </w:r>
      <w:r w:rsidR="008F25B7" w:rsidRPr="00ED5869">
        <w:rPr>
          <w:rFonts w:cstheme="minorHAnsi"/>
        </w:rPr>
        <w:t>results</w:t>
      </w:r>
      <w:r w:rsidRPr="00ED5869">
        <w:rPr>
          <w:rFonts w:cstheme="minorHAnsi"/>
        </w:rPr>
        <w:t>.</w:t>
      </w:r>
    </w:p>
    <w:p w14:paraId="33886BF3" w14:textId="77777777" w:rsidR="001803A2" w:rsidRPr="00ED5869" w:rsidRDefault="001803A2" w:rsidP="001803A2">
      <w:pPr>
        <w:spacing w:after="0"/>
        <w:ind w:right="80"/>
        <w:rPr>
          <w:rFonts w:cstheme="minorHAnsi"/>
        </w:rPr>
      </w:pPr>
    </w:p>
    <w:p w14:paraId="2D7F7647" w14:textId="0E80341E" w:rsidR="001803A2" w:rsidRPr="008F25B7" w:rsidRDefault="001803A2" w:rsidP="001803A2">
      <w:pPr>
        <w:spacing w:after="0"/>
        <w:ind w:right="80"/>
        <w:rPr>
          <w:rFonts w:cstheme="minorHAnsi"/>
        </w:rPr>
      </w:pPr>
      <w:r w:rsidRPr="00ED5869">
        <w:rPr>
          <w:rFonts w:cstheme="minorHAnsi"/>
        </w:rPr>
        <w:t>The power of the system lies in its ease of use and is based on the assumptions that generate the analysis. The following sections of this User’s Guide explain the methods used to generate the initial or default assumptions by the system and an explanation of the use of these assumptions in the report. The user is strongly urged to review these default assumptions and adjust to align with the banker’s experience and market conditions.</w:t>
      </w:r>
      <w:r w:rsidR="008F25B7">
        <w:rPr>
          <w:rFonts w:cstheme="minorHAnsi"/>
        </w:rPr>
        <w:t xml:space="preserve"> </w:t>
      </w:r>
      <w:r w:rsidRPr="008F25B7">
        <w:rPr>
          <w:rFonts w:cstheme="minorHAnsi"/>
          <w:i/>
          <w:iCs/>
        </w:rPr>
        <w:t>Make sure you document any changes in Assumption for your ALCO/Board Meetings and Examiners.</w:t>
      </w:r>
    </w:p>
    <w:p w14:paraId="0DE94FDF" w14:textId="77777777" w:rsidR="001803A2" w:rsidRPr="00ED5869" w:rsidRDefault="001803A2" w:rsidP="001803A2">
      <w:pPr>
        <w:spacing w:after="0"/>
        <w:ind w:right="80"/>
        <w:rPr>
          <w:rFonts w:cstheme="minorHAnsi"/>
        </w:rPr>
      </w:pPr>
    </w:p>
    <w:p w14:paraId="4AA9DBD4" w14:textId="77777777" w:rsidR="001803A2" w:rsidRPr="00ED5869" w:rsidRDefault="001803A2" w:rsidP="001803A2">
      <w:pPr>
        <w:spacing w:after="0"/>
        <w:ind w:right="80"/>
        <w:rPr>
          <w:rFonts w:cstheme="minorHAnsi"/>
        </w:rPr>
      </w:pPr>
      <w:r w:rsidRPr="00ED5869">
        <w:rPr>
          <w:rFonts w:cstheme="minorHAnsi"/>
        </w:rPr>
        <w:t>RiskGPS is meant to be a reasonable approximation of a bank’s risk position, produced with minimal effort and expense, and highly effective for most less-complicated community bank.</w:t>
      </w:r>
    </w:p>
    <w:p w14:paraId="7163283B" w14:textId="77777777" w:rsidR="001803A2" w:rsidRPr="00ED5869" w:rsidRDefault="001803A2" w:rsidP="001803A2">
      <w:pPr>
        <w:spacing w:after="0"/>
        <w:ind w:right="80"/>
        <w:rPr>
          <w:rFonts w:cstheme="minorHAnsi"/>
        </w:rPr>
      </w:pPr>
    </w:p>
    <w:p w14:paraId="44523719" w14:textId="73E44BEF" w:rsidR="001803A2" w:rsidRPr="008F25B7" w:rsidRDefault="00234983" w:rsidP="001803A2">
      <w:pPr>
        <w:spacing w:after="0"/>
        <w:ind w:right="80"/>
        <w:rPr>
          <w:rFonts w:cstheme="minorHAnsi"/>
          <w:u w:val="single"/>
        </w:rPr>
      </w:pPr>
      <w:r>
        <w:rPr>
          <w:rFonts w:cstheme="minorHAnsi"/>
          <w:u w:val="single"/>
        </w:rPr>
        <w:t>GETTING STARTED</w:t>
      </w:r>
    </w:p>
    <w:p w14:paraId="2118998B" w14:textId="75D0D59E" w:rsidR="001803A2" w:rsidRPr="008F25B7" w:rsidRDefault="008F25B7" w:rsidP="001803A2">
      <w:pPr>
        <w:spacing w:after="0"/>
        <w:ind w:right="80"/>
        <w:rPr>
          <w:rFonts w:cstheme="minorHAnsi"/>
          <w:b/>
          <w:bCs/>
        </w:rPr>
      </w:pPr>
      <w:r>
        <w:rPr>
          <w:rFonts w:cstheme="minorHAnsi"/>
          <w:b/>
          <w:bCs/>
        </w:rPr>
        <w:t>How to Log In</w:t>
      </w:r>
    </w:p>
    <w:p w14:paraId="47C72CB5" w14:textId="77777777" w:rsidR="001803A2" w:rsidRPr="00ED5869" w:rsidRDefault="001803A2" w:rsidP="001803A2">
      <w:pPr>
        <w:spacing w:after="0"/>
        <w:ind w:right="80"/>
        <w:rPr>
          <w:rFonts w:cstheme="minorHAnsi"/>
        </w:rPr>
      </w:pPr>
      <w:r w:rsidRPr="00ED5869">
        <w:rPr>
          <w:rFonts w:cstheme="minorHAnsi"/>
        </w:rPr>
        <w:t>To log in, enter your Driver’s ID and Password then click the ‘Risk’ button.</w:t>
      </w:r>
    </w:p>
    <w:p w14:paraId="3F0AF2F9" w14:textId="77777777" w:rsidR="001803A2" w:rsidRPr="00ED5869" w:rsidRDefault="001803A2" w:rsidP="001803A2">
      <w:pPr>
        <w:spacing w:after="0"/>
        <w:ind w:right="80"/>
        <w:rPr>
          <w:rFonts w:cstheme="minorHAnsi"/>
        </w:rPr>
      </w:pPr>
    </w:p>
    <w:p w14:paraId="2217FE6B" w14:textId="6BB1B837" w:rsidR="001803A2" w:rsidRPr="00ED5869" w:rsidRDefault="001803A2" w:rsidP="001803A2">
      <w:pPr>
        <w:spacing w:after="0"/>
        <w:ind w:right="80"/>
        <w:rPr>
          <w:rFonts w:cstheme="minorHAnsi"/>
        </w:rPr>
      </w:pPr>
      <w:r w:rsidRPr="00ED5869">
        <w:rPr>
          <w:rFonts w:cstheme="minorHAnsi"/>
        </w:rPr>
        <w:t>We recommend that the user ALWAYS review the report data first, as it is directly fed from the Call Report, to ensure accuracy of the information uploaded for use in the program. There are reports within RiskGPS that will assist in this review and facilitate the user’s auditing of the Call Report Transmission file.</w:t>
      </w:r>
    </w:p>
    <w:p w14:paraId="0D881F0C" w14:textId="77777777" w:rsidR="001803A2" w:rsidRPr="00ED5869" w:rsidRDefault="001803A2" w:rsidP="001803A2">
      <w:pPr>
        <w:spacing w:after="0"/>
        <w:ind w:right="80"/>
        <w:rPr>
          <w:rFonts w:cstheme="minorHAnsi"/>
        </w:rPr>
      </w:pPr>
    </w:p>
    <w:p w14:paraId="3A1BD079" w14:textId="1841FC66" w:rsidR="001803A2" w:rsidRPr="00234983" w:rsidRDefault="001803A2" w:rsidP="001803A2">
      <w:pPr>
        <w:spacing w:after="0"/>
        <w:ind w:right="80"/>
        <w:rPr>
          <w:rFonts w:cstheme="minorHAnsi"/>
          <w:b/>
          <w:bCs/>
          <w:caps/>
        </w:rPr>
      </w:pPr>
      <w:r w:rsidRPr="00234983">
        <w:rPr>
          <w:rFonts w:cstheme="minorHAnsi"/>
          <w:b/>
          <w:bCs/>
          <w:caps/>
        </w:rPr>
        <w:t>RiskGPS® Interest Rate Risk, Report Calculation Methodology</w:t>
      </w:r>
    </w:p>
    <w:p w14:paraId="581985E0" w14:textId="63B3CDE3" w:rsidR="001803A2" w:rsidRPr="00ED5869" w:rsidRDefault="001803A2" w:rsidP="001803A2">
      <w:pPr>
        <w:spacing w:after="0"/>
        <w:ind w:right="80"/>
        <w:rPr>
          <w:rFonts w:cstheme="minorHAnsi"/>
        </w:rPr>
      </w:pPr>
      <w:r w:rsidRPr="00ED5869">
        <w:rPr>
          <w:rFonts w:cstheme="minorHAnsi"/>
        </w:rPr>
        <w:t xml:space="preserve">Risk is a broad concept as it covers so many aspects of the bank. While the Comptroller of the Currency has defined nine risks, we will focus only on one in our analysis, Interest Rate Risk. All banks have </w:t>
      </w:r>
      <w:proofErr w:type="gramStart"/>
      <w:r w:rsidRPr="00ED5869">
        <w:rPr>
          <w:rFonts w:cstheme="minorHAnsi"/>
        </w:rPr>
        <w:t>risk</w:t>
      </w:r>
      <w:proofErr w:type="gramEnd"/>
      <w:r w:rsidRPr="00ED5869">
        <w:rPr>
          <w:rFonts w:cstheme="minorHAnsi"/>
        </w:rPr>
        <w:t xml:space="preserve">, but some could absorb the consequences and go on, whereas others may not. If we are going to measure risk, we need a benchmark against which to measure the potential severity of the loss. Our starting point is to prepare the analysis and give it meaning by calculating </w:t>
      </w:r>
      <w:r w:rsidRPr="00ED5869">
        <w:rPr>
          <w:rFonts w:cstheme="minorHAnsi"/>
          <w:u w:val="single" w:color="000000"/>
        </w:rPr>
        <w:t>Risk Tolerance</w:t>
      </w:r>
      <w:r w:rsidRPr="00ED5869">
        <w:rPr>
          <w:rFonts w:cstheme="minorHAnsi"/>
        </w:rPr>
        <w:t xml:space="preserve">, the ability to endure losses and continue to maintain an adequate capital ratio. There are </w:t>
      </w:r>
      <w:r w:rsidR="00234983" w:rsidRPr="00ED5869">
        <w:rPr>
          <w:rFonts w:cstheme="minorHAnsi"/>
        </w:rPr>
        <w:t>two</w:t>
      </w:r>
      <w:r w:rsidRPr="00ED5869">
        <w:rPr>
          <w:rFonts w:cstheme="minorHAnsi"/>
        </w:rPr>
        <w:t xml:space="preserve"> risk tolerances, Capital and Interest Margin. While both relate to the capital ratio, one is a simple subtraction while the other involves the expense levels and the impact of changing rates on the bank’s Net Interest Income.</w:t>
      </w:r>
    </w:p>
    <w:p w14:paraId="6631CCFF" w14:textId="77777777" w:rsidR="001803A2" w:rsidRPr="00ED5869" w:rsidRDefault="001803A2" w:rsidP="001803A2">
      <w:pPr>
        <w:spacing w:after="0"/>
        <w:ind w:right="80"/>
        <w:rPr>
          <w:rFonts w:cstheme="minorHAnsi"/>
        </w:rPr>
      </w:pPr>
    </w:p>
    <w:p w14:paraId="1F923EB0" w14:textId="795CFC93" w:rsidR="001803A2" w:rsidRPr="008F25B7" w:rsidRDefault="00234983" w:rsidP="001803A2">
      <w:pPr>
        <w:spacing w:after="0"/>
        <w:ind w:right="80"/>
        <w:rPr>
          <w:rFonts w:cstheme="minorHAnsi"/>
          <w:b/>
          <w:bCs/>
        </w:rPr>
      </w:pPr>
      <w:r>
        <w:rPr>
          <w:rFonts w:cstheme="minorHAnsi"/>
          <w:b/>
          <w:bCs/>
        </w:rPr>
        <w:lastRenderedPageBreak/>
        <w:t>MARGIN RISK TOLERANCE</w:t>
      </w:r>
    </w:p>
    <w:p w14:paraId="28C58B42" w14:textId="1D7B1007" w:rsidR="001803A2" w:rsidRPr="008F25B7" w:rsidRDefault="001803A2" w:rsidP="001803A2">
      <w:pPr>
        <w:spacing w:after="0"/>
        <w:ind w:right="80"/>
        <w:rPr>
          <w:rFonts w:cstheme="minorHAnsi"/>
          <w:i/>
          <w:iCs/>
        </w:rPr>
      </w:pPr>
      <w:r w:rsidRPr="008F25B7">
        <w:rPr>
          <w:rFonts w:cstheme="minorHAnsi"/>
          <w:i/>
          <w:iCs/>
        </w:rPr>
        <w:t xml:space="preserve">Risk Tolerance is the ability to absorb losses to capital while still maintaining a ratio above the minimum level. This is calculated by subtracting the minimum capital ratio from the bank’s current capital ratio. </w:t>
      </w:r>
      <w:r w:rsidRPr="00ED5869">
        <w:rPr>
          <w:rFonts w:cstheme="minorHAnsi"/>
        </w:rPr>
        <w:t>Your bank’s Tier 1 Equity Risk Tolerance ratio can be found in the introductory paragraph on the Margin Risk Tolerance page in RiskGPS. This will also serve as a benchmark to measure severity as we determine the impact of changing rates on the bank’s Equity Ratio.</w:t>
      </w:r>
      <w:r w:rsidR="008F25B7">
        <w:rPr>
          <w:rFonts w:cstheme="minorHAnsi"/>
        </w:rPr>
        <w:t xml:space="preserve"> </w:t>
      </w:r>
      <w:r w:rsidRPr="008F25B7">
        <w:rPr>
          <w:rFonts w:cstheme="minorHAnsi"/>
          <w:i/>
          <w:iCs/>
        </w:rPr>
        <w:t>When we use the term Net Interest Income (NII) we are referring to the actual dollar value</w:t>
      </w:r>
      <w:r w:rsidR="008F25B7">
        <w:rPr>
          <w:rFonts w:cstheme="minorHAnsi"/>
          <w:i/>
          <w:iCs/>
        </w:rPr>
        <w:t xml:space="preserve">, </w:t>
      </w:r>
      <w:r w:rsidR="008F25B7" w:rsidRPr="008F25B7">
        <w:rPr>
          <w:rFonts w:cstheme="minorHAnsi"/>
          <w:i/>
          <w:iCs/>
        </w:rPr>
        <w:t>whereas</w:t>
      </w:r>
      <w:r w:rsidRPr="008F25B7">
        <w:rPr>
          <w:rFonts w:cstheme="minorHAnsi"/>
          <w:i/>
          <w:iCs/>
        </w:rPr>
        <w:t xml:space="preserve"> Net Interest Margin (NIM) is the ratio of NII to Average Earning Assets.</w:t>
      </w:r>
    </w:p>
    <w:p w14:paraId="3D7C22F7" w14:textId="77777777" w:rsidR="001803A2" w:rsidRPr="00ED5869" w:rsidRDefault="001803A2" w:rsidP="001803A2">
      <w:pPr>
        <w:spacing w:after="0"/>
        <w:ind w:right="80"/>
        <w:rPr>
          <w:rFonts w:cstheme="minorHAnsi"/>
        </w:rPr>
      </w:pPr>
    </w:p>
    <w:p w14:paraId="5E563C37" w14:textId="77777777" w:rsidR="001803A2" w:rsidRPr="008F25B7" w:rsidRDefault="001803A2" w:rsidP="001803A2">
      <w:pPr>
        <w:spacing w:after="0"/>
        <w:ind w:right="80"/>
        <w:rPr>
          <w:rFonts w:cstheme="minorHAnsi"/>
          <w:b/>
          <w:bCs/>
        </w:rPr>
      </w:pPr>
      <w:r w:rsidRPr="008F25B7">
        <w:rPr>
          <w:rFonts w:cstheme="minorHAnsi"/>
          <w:b/>
          <w:bCs/>
        </w:rPr>
        <w:t>Risk Tolerance</w:t>
      </w:r>
    </w:p>
    <w:p w14:paraId="7B17CE05" w14:textId="6A4F3DBC" w:rsidR="001803A2" w:rsidRPr="008F25B7" w:rsidRDefault="001803A2" w:rsidP="001803A2">
      <w:pPr>
        <w:spacing w:after="0"/>
        <w:ind w:right="80"/>
        <w:rPr>
          <w:rFonts w:cstheme="minorHAnsi"/>
          <w:i/>
          <w:iCs/>
        </w:rPr>
      </w:pPr>
      <w:r w:rsidRPr="008F25B7">
        <w:rPr>
          <w:rFonts w:cstheme="minorHAnsi"/>
          <w:i/>
          <w:iCs/>
        </w:rPr>
        <w:t>Risk Tolerance is the ability to absorb a decline in NII yet continue to maintain a NII above the minimum requirement. The minimum NII is the NII that must be generated to maintain the current capital level, pay dividends, and cover all operating expenses including loan losses. If the bank generates at least this amount then all is well and its current Capital Ratio will be maintained; however, if the actual NII falls below the minimum, the Capital Ratio will also fall below the current minimum level.</w:t>
      </w:r>
      <w:r w:rsidR="008F25B7">
        <w:rPr>
          <w:rFonts w:cstheme="minorHAnsi"/>
          <w:i/>
          <w:iCs/>
        </w:rPr>
        <w:t xml:space="preserve"> </w:t>
      </w:r>
      <w:r w:rsidRPr="00ED5869">
        <w:rPr>
          <w:rFonts w:cstheme="minorHAnsi"/>
          <w:position w:val="-1"/>
        </w:rPr>
        <w:t xml:space="preserve">Note: </w:t>
      </w:r>
      <w:r w:rsidRPr="00ED5869">
        <w:rPr>
          <w:rFonts w:cstheme="minorHAnsi"/>
          <w:position w:val="-1"/>
          <w:u w:val="single" w:color="000000"/>
        </w:rPr>
        <w:t>Non-Interest Income</w:t>
      </w:r>
      <w:r w:rsidRPr="00ED5869">
        <w:rPr>
          <w:rFonts w:cstheme="minorHAnsi"/>
          <w:position w:val="-1"/>
        </w:rPr>
        <w:t xml:space="preserve"> is presented as a contra expense on the Risk Tolerance Analysis.</w:t>
      </w:r>
    </w:p>
    <w:p w14:paraId="019A19A2" w14:textId="77777777" w:rsidR="00234983" w:rsidRDefault="00234983" w:rsidP="001803A2">
      <w:pPr>
        <w:spacing w:after="0"/>
        <w:ind w:right="80"/>
        <w:rPr>
          <w:rFonts w:cstheme="minorHAnsi"/>
        </w:rPr>
      </w:pPr>
    </w:p>
    <w:p w14:paraId="63FCD371" w14:textId="063A31EE" w:rsidR="001803A2" w:rsidRPr="008F25B7" w:rsidRDefault="001803A2" w:rsidP="001803A2">
      <w:pPr>
        <w:spacing w:after="0"/>
        <w:ind w:right="80"/>
        <w:rPr>
          <w:rFonts w:cstheme="minorHAnsi"/>
          <w:b/>
          <w:bCs/>
        </w:rPr>
      </w:pPr>
      <w:r w:rsidRPr="008F25B7">
        <w:rPr>
          <w:rFonts w:cstheme="minorHAnsi"/>
          <w:b/>
          <w:bCs/>
        </w:rPr>
        <w:t>Tax Equivalent Adjustment</w:t>
      </w:r>
    </w:p>
    <w:p w14:paraId="793B1581" w14:textId="34EFC501" w:rsidR="001803A2" w:rsidRDefault="001803A2" w:rsidP="001803A2">
      <w:pPr>
        <w:spacing w:after="0"/>
        <w:ind w:right="80"/>
        <w:rPr>
          <w:rFonts w:cstheme="minorHAnsi"/>
        </w:rPr>
      </w:pPr>
      <w:r w:rsidRPr="00ED5869">
        <w:rPr>
          <w:rFonts w:cstheme="minorHAnsi"/>
        </w:rPr>
        <w:t>Since the NIM is usually stated as a tax equivalent ratio, the system adds tax-free income to the calculation. The default is calculated using the most recent quarter, annualized. There is no manual adjustment for this value.</w:t>
      </w:r>
    </w:p>
    <w:p w14:paraId="797B3C33" w14:textId="77777777" w:rsidR="001803A2" w:rsidRPr="00ED5869" w:rsidRDefault="001803A2" w:rsidP="001803A2">
      <w:pPr>
        <w:spacing w:after="0"/>
        <w:ind w:right="80"/>
        <w:rPr>
          <w:rFonts w:cstheme="minorHAnsi"/>
        </w:rPr>
      </w:pPr>
    </w:p>
    <w:p w14:paraId="63BC9FD7" w14:textId="505FB4AD" w:rsidR="001803A2" w:rsidRPr="00234983" w:rsidRDefault="0048671B" w:rsidP="001803A2">
      <w:pPr>
        <w:spacing w:after="0"/>
        <w:ind w:right="80"/>
        <w:rPr>
          <w:rFonts w:cstheme="minorHAnsi"/>
          <w:i/>
          <w:iCs/>
        </w:rPr>
      </w:pPr>
      <w:r>
        <w:rPr>
          <w:rFonts w:cstheme="minorHAnsi"/>
        </w:rPr>
        <w:t>I</w:t>
      </w:r>
      <w:r w:rsidR="001803A2" w:rsidRPr="00ED5869">
        <w:rPr>
          <w:rFonts w:cstheme="minorHAnsi"/>
        </w:rPr>
        <w:t>ncome is grossed up to pre-tax and then the taxes are calculated. It is important to remember we are dealing with minimum levels of income and expense. That is why the taxes are not necessarily the taxes we would pay if we were trying to calculate the expected earnings.</w:t>
      </w:r>
      <w:r w:rsidR="008F25B7">
        <w:rPr>
          <w:rFonts w:cstheme="minorHAnsi"/>
        </w:rPr>
        <w:t xml:space="preserve"> </w:t>
      </w:r>
      <w:r w:rsidR="001803A2" w:rsidRPr="00ED5869">
        <w:rPr>
          <w:rFonts w:cstheme="minorHAnsi"/>
        </w:rPr>
        <w:t xml:space="preserve">Note: if the bank is a </w:t>
      </w:r>
      <w:r w:rsidR="001803A2" w:rsidRPr="00234983">
        <w:rPr>
          <w:rFonts w:cstheme="minorHAnsi"/>
          <w:b/>
          <w:bCs/>
        </w:rPr>
        <w:t>Sub-chapter “S”</w:t>
      </w:r>
      <w:r w:rsidR="001803A2" w:rsidRPr="00ED5869">
        <w:rPr>
          <w:rFonts w:cstheme="minorHAnsi"/>
        </w:rPr>
        <w:t xml:space="preserve"> and has selected that in the assumptions area, there may still be a small tax rate calculated for state tax purposes. </w:t>
      </w:r>
      <w:r w:rsidR="001803A2" w:rsidRPr="00234983">
        <w:rPr>
          <w:rFonts w:cstheme="minorHAnsi"/>
          <w:i/>
          <w:iCs/>
        </w:rPr>
        <w:t>Choosing the Sub-S option in the Assumptions sets the effective rate to zero.</w:t>
      </w:r>
    </w:p>
    <w:p w14:paraId="564CE7AD" w14:textId="77777777" w:rsidR="001803A2" w:rsidRPr="00ED5869" w:rsidRDefault="001803A2" w:rsidP="001803A2">
      <w:pPr>
        <w:spacing w:after="0"/>
        <w:ind w:right="80"/>
        <w:rPr>
          <w:rFonts w:cstheme="minorHAnsi"/>
        </w:rPr>
      </w:pPr>
    </w:p>
    <w:p w14:paraId="5F60B941" w14:textId="494502A1" w:rsidR="001803A2" w:rsidRPr="00ED5869" w:rsidRDefault="001803A2" w:rsidP="001803A2">
      <w:pPr>
        <w:spacing w:after="0"/>
        <w:ind w:right="80"/>
        <w:rPr>
          <w:rFonts w:cstheme="minorHAnsi"/>
        </w:rPr>
      </w:pPr>
      <w:r w:rsidRPr="00ED5869">
        <w:rPr>
          <w:rFonts w:cstheme="minorHAnsi"/>
        </w:rPr>
        <w:t>Total Other Expenses</w:t>
      </w:r>
      <w:r w:rsidR="00234983">
        <w:rPr>
          <w:rFonts w:cstheme="minorHAnsi"/>
        </w:rPr>
        <w:t xml:space="preserve"> totals all overhead values</w:t>
      </w:r>
      <w:r w:rsidRPr="00ED5869">
        <w:rPr>
          <w:rFonts w:cstheme="minorHAnsi"/>
        </w:rPr>
        <w:t xml:space="preserve">. </w:t>
      </w:r>
      <w:r w:rsidR="00234983">
        <w:rPr>
          <w:rFonts w:cstheme="minorHAnsi"/>
        </w:rPr>
        <w:t>On the Risk Tolerance Report</w:t>
      </w:r>
      <w:r w:rsidRPr="00ED5869">
        <w:rPr>
          <w:rFonts w:cstheme="minorHAnsi"/>
        </w:rPr>
        <w:t xml:space="preserve">, the Minimum Required Interest Margin (MRE +Total Other Expenses) is the NII that the bank must generate to cover all expenses and maintain its capital ratio at or above a minimum level. Net Interest Income Risk Tolerance, the bank’s ability to absorb losses in the NII and continue to meet total expense, is calculated by subtracting the Minimum Interest Margin from the Interest Margin at the Zero Rate Simulation value. </w:t>
      </w:r>
      <w:r w:rsidR="00234983">
        <w:rPr>
          <w:rFonts w:cstheme="minorHAnsi"/>
        </w:rPr>
        <w:t>This</w:t>
      </w:r>
      <w:r w:rsidRPr="00ED5869">
        <w:rPr>
          <w:rFonts w:cstheme="minorHAnsi"/>
        </w:rPr>
        <w:t xml:space="preserve"> then becomes the benchmark against which Net Interest Margin will be measured. </w:t>
      </w:r>
    </w:p>
    <w:p w14:paraId="1CAFD18D" w14:textId="77777777" w:rsidR="001803A2" w:rsidRPr="00ED5869" w:rsidRDefault="001803A2" w:rsidP="001803A2">
      <w:pPr>
        <w:spacing w:after="0"/>
        <w:ind w:right="80"/>
        <w:rPr>
          <w:rFonts w:cstheme="minorHAnsi"/>
        </w:rPr>
      </w:pPr>
    </w:p>
    <w:p w14:paraId="3F0DD884" w14:textId="09706CA3" w:rsidR="001803A2" w:rsidRPr="008F25B7" w:rsidRDefault="001803A2" w:rsidP="001803A2">
      <w:pPr>
        <w:spacing w:after="0"/>
        <w:ind w:right="80"/>
        <w:rPr>
          <w:rFonts w:cstheme="minorHAnsi"/>
          <w:b/>
          <w:bCs/>
        </w:rPr>
      </w:pPr>
      <w:r w:rsidRPr="008F25B7">
        <w:rPr>
          <w:rFonts w:cstheme="minorHAnsi"/>
          <w:b/>
          <w:bCs/>
        </w:rPr>
        <w:t>Rate Sensitivity Gap Report</w:t>
      </w:r>
    </w:p>
    <w:p w14:paraId="329DADB2" w14:textId="40321233" w:rsidR="001803A2" w:rsidRPr="00ED5869" w:rsidRDefault="001803A2" w:rsidP="00234983">
      <w:pPr>
        <w:spacing w:after="0"/>
        <w:ind w:right="80"/>
        <w:rPr>
          <w:rFonts w:cstheme="minorHAnsi"/>
        </w:rPr>
      </w:pPr>
      <w:r w:rsidRPr="00234983">
        <w:rPr>
          <w:rFonts w:cstheme="minorHAnsi"/>
          <w:b/>
          <w:bCs/>
        </w:rPr>
        <w:t>Gap analysis</w:t>
      </w:r>
      <w:r w:rsidRPr="00ED5869">
        <w:rPr>
          <w:rFonts w:cstheme="minorHAnsi"/>
        </w:rPr>
        <w:t xml:space="preserve"> has been a staple in risk measurement since the late 1970s when it was introduced as a simple technique to determine the impact of rising and falling rates. While its true effectiveness continues to be questioned, it is, nonetheless, still used in a very large number of financial institutions and by many examiners.</w:t>
      </w:r>
      <w:r w:rsidR="00234983">
        <w:rPr>
          <w:rFonts w:cstheme="minorHAnsi"/>
        </w:rPr>
        <w:t xml:space="preserve"> </w:t>
      </w:r>
      <w:r w:rsidRPr="00ED5869">
        <w:rPr>
          <w:rFonts w:cstheme="minorHAnsi"/>
        </w:rPr>
        <w:t>Th</w:t>
      </w:r>
      <w:r w:rsidR="00234983">
        <w:rPr>
          <w:rFonts w:cstheme="minorHAnsi"/>
        </w:rPr>
        <w:t>e</w:t>
      </w:r>
      <w:r w:rsidRPr="00ED5869">
        <w:rPr>
          <w:rFonts w:cstheme="minorHAnsi"/>
        </w:rPr>
        <w:t xml:space="preserve"> report has two roles within the </w:t>
      </w:r>
      <w:r w:rsidR="00234983">
        <w:rPr>
          <w:rFonts w:cstheme="minorHAnsi"/>
        </w:rPr>
        <w:t xml:space="preserve">RiskGPS </w:t>
      </w:r>
      <w:r w:rsidRPr="00ED5869">
        <w:rPr>
          <w:rFonts w:cstheme="minorHAnsi"/>
        </w:rPr>
        <w:t>analysis:</w:t>
      </w:r>
      <w:r w:rsidR="00234983">
        <w:rPr>
          <w:rFonts w:cstheme="minorHAnsi"/>
        </w:rPr>
        <w:t xml:space="preserve"> i</w:t>
      </w:r>
      <w:r w:rsidRPr="00ED5869">
        <w:rPr>
          <w:rFonts w:cstheme="minorHAnsi"/>
        </w:rPr>
        <w:t>t is a standard technique</w:t>
      </w:r>
      <w:r w:rsidR="00234983">
        <w:rPr>
          <w:rFonts w:cstheme="minorHAnsi"/>
        </w:rPr>
        <w:t xml:space="preserve"> </w:t>
      </w:r>
      <w:r w:rsidR="00234983">
        <w:rPr>
          <w:rFonts w:cstheme="minorHAnsi"/>
        </w:rPr>
        <w:lastRenderedPageBreak/>
        <w:t>and, since</w:t>
      </w:r>
      <w:r w:rsidRPr="00ED5869">
        <w:rPr>
          <w:rFonts w:cstheme="minorHAnsi"/>
        </w:rPr>
        <w:t xml:space="preserve"> it presents the current cash flow, maturity, and repricing information, it forms the basis for the simulations and market value calculations in later reports.</w:t>
      </w:r>
    </w:p>
    <w:p w14:paraId="661D43A1" w14:textId="77777777" w:rsidR="001803A2" w:rsidRPr="00ED5869" w:rsidRDefault="001803A2" w:rsidP="001803A2">
      <w:pPr>
        <w:spacing w:after="0"/>
        <w:ind w:right="80"/>
        <w:rPr>
          <w:rFonts w:cstheme="minorHAnsi"/>
        </w:rPr>
      </w:pPr>
    </w:p>
    <w:p w14:paraId="3FCB55B1" w14:textId="41E55D79" w:rsidR="001803A2" w:rsidRPr="00ED5869" w:rsidRDefault="001803A2" w:rsidP="001803A2">
      <w:pPr>
        <w:spacing w:after="0"/>
        <w:ind w:right="80"/>
        <w:rPr>
          <w:rFonts w:cstheme="minorHAnsi"/>
        </w:rPr>
      </w:pPr>
      <w:r w:rsidRPr="00ED5869">
        <w:rPr>
          <w:rFonts w:cstheme="minorHAnsi"/>
        </w:rPr>
        <w:t xml:space="preserve">The top of the </w:t>
      </w:r>
      <w:r w:rsidR="00234983" w:rsidRPr="00234983">
        <w:rPr>
          <w:rFonts w:cstheme="minorHAnsi"/>
          <w:b/>
          <w:bCs/>
        </w:rPr>
        <w:t>Gap Report</w:t>
      </w:r>
      <w:r w:rsidR="00234983">
        <w:rPr>
          <w:rFonts w:cstheme="minorHAnsi"/>
        </w:rPr>
        <w:t xml:space="preserve"> </w:t>
      </w:r>
      <w:r w:rsidRPr="00ED5869">
        <w:rPr>
          <w:rFonts w:cstheme="minorHAnsi"/>
        </w:rPr>
        <w:t>shows the Securities and Loan maturity information contained in the call report, unadjusted. The body of the report shows the adjusted values based on data refined through the assumptions. We advise you to review this report and be satisfied that the results shown are consistent with the bank’s views.</w:t>
      </w:r>
      <w:r w:rsidR="00234983">
        <w:rPr>
          <w:rFonts w:cstheme="minorHAnsi"/>
        </w:rPr>
        <w:t xml:space="preserve"> </w:t>
      </w:r>
      <w:r w:rsidRPr="00ED5869">
        <w:rPr>
          <w:rFonts w:cstheme="minorHAnsi"/>
        </w:rPr>
        <w:t xml:space="preserve">At the bottom of the Gap report, you will find the </w:t>
      </w:r>
      <w:r w:rsidRPr="00234983">
        <w:rPr>
          <w:rFonts w:cstheme="minorHAnsi"/>
          <w:b/>
          <w:bCs/>
        </w:rPr>
        <w:t>incremental gap</w:t>
      </w:r>
      <w:r w:rsidR="00234983">
        <w:rPr>
          <w:rFonts w:cstheme="minorHAnsi"/>
        </w:rPr>
        <w:t xml:space="preserve"> (</w:t>
      </w:r>
      <w:r w:rsidRPr="00ED5869">
        <w:rPr>
          <w:rFonts w:cstheme="minorHAnsi"/>
        </w:rPr>
        <w:t>i.e., rate sensitive assets – rate sensitive liabilities</w:t>
      </w:r>
      <w:r w:rsidR="00234983">
        <w:rPr>
          <w:rFonts w:cstheme="minorHAnsi"/>
        </w:rPr>
        <w:t>)</w:t>
      </w:r>
      <w:r w:rsidRPr="00ED5869">
        <w:rPr>
          <w:rFonts w:cstheme="minorHAnsi"/>
        </w:rPr>
        <w:t xml:space="preserve"> for each </w:t>
      </w:r>
      <w:r w:rsidR="008F25B7" w:rsidRPr="00ED5869">
        <w:rPr>
          <w:rFonts w:cstheme="minorHAnsi"/>
        </w:rPr>
        <w:t>period</w:t>
      </w:r>
      <w:r w:rsidRPr="00ED5869">
        <w:rPr>
          <w:rFonts w:cstheme="minorHAnsi"/>
        </w:rPr>
        <w:t xml:space="preserve">. The program calculates the Cumulative Gap as well as the </w:t>
      </w:r>
      <w:r w:rsidRPr="00234983">
        <w:rPr>
          <w:rFonts w:cstheme="minorHAnsi"/>
          <w:b/>
          <w:bCs/>
        </w:rPr>
        <w:t>Gap Ratio RSA/RSL</w:t>
      </w:r>
      <w:r w:rsidRPr="00ED5869">
        <w:rPr>
          <w:rFonts w:cstheme="minorHAnsi"/>
        </w:rPr>
        <w:t>. This can be used in conjunction with the bank’s rate risk policy.</w:t>
      </w:r>
    </w:p>
    <w:p w14:paraId="76A338BF" w14:textId="77777777" w:rsidR="001803A2" w:rsidRPr="00ED5869" w:rsidRDefault="001803A2" w:rsidP="001803A2">
      <w:pPr>
        <w:spacing w:after="0"/>
        <w:ind w:right="80"/>
        <w:rPr>
          <w:rFonts w:cstheme="minorHAnsi"/>
        </w:rPr>
      </w:pPr>
    </w:p>
    <w:p w14:paraId="3231450B" w14:textId="77777777" w:rsidR="00234983" w:rsidRDefault="00234983" w:rsidP="001803A2">
      <w:pPr>
        <w:spacing w:after="0"/>
        <w:ind w:right="80"/>
        <w:rPr>
          <w:rFonts w:cstheme="minorHAnsi"/>
          <w:i/>
          <w:iCs/>
        </w:rPr>
      </w:pPr>
      <w:r>
        <w:rPr>
          <w:rFonts w:cstheme="minorHAnsi"/>
        </w:rPr>
        <w:t>Another</w:t>
      </w:r>
      <w:r w:rsidR="001803A2" w:rsidRPr="00ED5869">
        <w:rPr>
          <w:rFonts w:cstheme="minorHAnsi"/>
        </w:rPr>
        <w:t xml:space="preserve"> calculation </w:t>
      </w:r>
      <w:r>
        <w:rPr>
          <w:rFonts w:cstheme="minorHAnsi"/>
        </w:rPr>
        <w:t>is</w:t>
      </w:r>
      <w:r w:rsidR="001803A2" w:rsidRPr="00ED5869">
        <w:rPr>
          <w:rFonts w:cstheme="minorHAnsi"/>
        </w:rPr>
        <w:t xml:space="preserve"> the </w:t>
      </w:r>
      <w:r w:rsidR="001803A2" w:rsidRPr="00234983">
        <w:rPr>
          <w:rFonts w:cstheme="minorHAnsi"/>
          <w:b/>
          <w:bCs/>
        </w:rPr>
        <w:t>Time-Weighted 12-Month Gap</w:t>
      </w:r>
      <w:r w:rsidR="001803A2" w:rsidRPr="00ED5869">
        <w:rPr>
          <w:rFonts w:cstheme="minorHAnsi"/>
        </w:rPr>
        <w:t>. This help</w:t>
      </w:r>
      <w:r>
        <w:rPr>
          <w:rFonts w:cstheme="minorHAnsi"/>
        </w:rPr>
        <w:t>s</w:t>
      </w:r>
      <w:r w:rsidR="001803A2" w:rsidRPr="00ED5869">
        <w:rPr>
          <w:rFonts w:cstheme="minorHAnsi"/>
        </w:rPr>
        <w:t xml:space="preserve"> correlate the twelve-month mismatch, a one-year rate change</w:t>
      </w:r>
      <w:r>
        <w:rPr>
          <w:rFonts w:cstheme="minorHAnsi"/>
        </w:rPr>
        <w:t>,</w:t>
      </w:r>
      <w:r w:rsidR="001803A2" w:rsidRPr="00ED5869">
        <w:rPr>
          <w:rFonts w:cstheme="minorHAnsi"/>
        </w:rPr>
        <w:t xml:space="preserve"> and the potential risk in Net Interest Margin (NIM). The simple </w:t>
      </w:r>
      <w:r w:rsidR="001803A2" w:rsidRPr="00234983">
        <w:rPr>
          <w:rFonts w:cstheme="minorHAnsi"/>
          <w:b/>
          <w:bCs/>
        </w:rPr>
        <w:t>Cumulative Gap</w:t>
      </w:r>
      <w:r w:rsidR="001803A2" w:rsidRPr="00ED5869">
        <w:rPr>
          <w:rFonts w:cstheme="minorHAnsi"/>
        </w:rPr>
        <w:t xml:space="preserve"> equally weights all Gap positions throughout the year. In actuality, the short-term Gap will have a greater impact than the long-term Gap because its effect will be felt longer. </w:t>
      </w:r>
      <w:proofErr w:type="gramStart"/>
      <w:r w:rsidR="001803A2" w:rsidRPr="00ED5869">
        <w:rPr>
          <w:rFonts w:cstheme="minorHAnsi"/>
        </w:rPr>
        <w:t>By</w:t>
      </w:r>
      <w:proofErr w:type="gramEnd"/>
      <w:r w:rsidR="001803A2" w:rsidRPr="00ED5869">
        <w:rPr>
          <w:rFonts w:cstheme="minorHAnsi"/>
        </w:rPr>
        <w:t xml:space="preserve"> time-</w:t>
      </w:r>
      <w:proofErr w:type="gramStart"/>
      <w:r w:rsidR="001803A2" w:rsidRPr="00ED5869">
        <w:rPr>
          <w:rFonts w:cstheme="minorHAnsi"/>
        </w:rPr>
        <w:t>weighting</w:t>
      </w:r>
      <w:proofErr w:type="gramEnd"/>
      <w:r w:rsidR="001803A2" w:rsidRPr="00ED5869">
        <w:rPr>
          <w:rFonts w:cstheme="minorHAnsi"/>
        </w:rPr>
        <w:t xml:space="preserve"> the incremental Gaps, we can produce a more accurate measurement of the impact of rate changes on the one-year NIM.</w:t>
      </w:r>
      <w:r>
        <w:rPr>
          <w:rFonts w:cstheme="minorHAnsi"/>
        </w:rPr>
        <w:t xml:space="preserve"> </w:t>
      </w:r>
      <w:r w:rsidR="001803A2" w:rsidRPr="00234983">
        <w:rPr>
          <w:rFonts w:cstheme="minorHAnsi"/>
          <w:i/>
          <w:iCs/>
        </w:rPr>
        <w:t>The formula is: NIM change=Time-Weighted 12-month Gap/Total Earning Assets</w:t>
      </w:r>
      <w:r w:rsidRPr="00234983">
        <w:rPr>
          <w:rFonts w:cstheme="minorHAnsi"/>
          <w:i/>
          <w:iCs/>
        </w:rPr>
        <w:t xml:space="preserve">. </w:t>
      </w:r>
      <w:r w:rsidR="001803A2" w:rsidRPr="00234983">
        <w:rPr>
          <w:rFonts w:cstheme="minorHAnsi"/>
          <w:i/>
          <w:iCs/>
        </w:rPr>
        <w:t xml:space="preserve">This simple technique shows the impact on NIM for a 100bp change in rate. The impact will depend on the sign of the Gap as well as the sign of the rate change. </w:t>
      </w:r>
    </w:p>
    <w:p w14:paraId="582DA775" w14:textId="77777777" w:rsidR="00234983" w:rsidRDefault="00234983" w:rsidP="001803A2">
      <w:pPr>
        <w:spacing w:after="0"/>
        <w:ind w:right="80"/>
        <w:rPr>
          <w:rFonts w:cstheme="minorHAnsi"/>
          <w:i/>
          <w:iCs/>
        </w:rPr>
      </w:pPr>
    </w:p>
    <w:p w14:paraId="0D005728" w14:textId="428E81D9" w:rsidR="001803A2" w:rsidRPr="00ED5869" w:rsidRDefault="001803A2" w:rsidP="001803A2">
      <w:pPr>
        <w:spacing w:after="0"/>
        <w:ind w:right="80"/>
        <w:rPr>
          <w:rFonts w:cstheme="minorHAnsi"/>
        </w:rPr>
      </w:pPr>
      <w:r w:rsidRPr="00ED5869">
        <w:rPr>
          <w:rFonts w:cstheme="minorHAnsi"/>
        </w:rPr>
        <w:t>For example, if the 12-month Time-Weighted Gap is 50,000 and the Total Earning Assets are 200,000, then the expected impact on NIM would be</w:t>
      </w:r>
      <w:r w:rsidR="008F25B7">
        <w:rPr>
          <w:rFonts w:cstheme="minorHAnsi"/>
        </w:rPr>
        <w:t xml:space="preserve"> -</w:t>
      </w:r>
      <w:r w:rsidRPr="00ED5869">
        <w:rPr>
          <w:rFonts w:cstheme="minorHAnsi"/>
        </w:rPr>
        <w:t>25bp for a -100bp change in rates. This would be true for an immediate and sustained -100bp change.</w:t>
      </w:r>
      <w:r w:rsidR="00234983">
        <w:rPr>
          <w:rFonts w:cstheme="minorHAnsi"/>
        </w:rPr>
        <w:t xml:space="preserve"> </w:t>
      </w:r>
      <w:r w:rsidRPr="00ED5869">
        <w:rPr>
          <w:rFonts w:cstheme="minorHAnsi"/>
        </w:rPr>
        <w:t xml:space="preserve">Note: In this analysis, the significant </w:t>
      </w:r>
      <w:r w:rsidR="008F25B7" w:rsidRPr="00ED5869">
        <w:rPr>
          <w:rFonts w:cstheme="minorHAnsi"/>
        </w:rPr>
        <w:t>period</w:t>
      </w:r>
      <w:r w:rsidRPr="00ED5869">
        <w:rPr>
          <w:rFonts w:cstheme="minorHAnsi"/>
        </w:rPr>
        <w:t xml:space="preserve"> is a twelve-month horizon. However, the report displays the full-time horizon and totals because the data can be used as an audit tool</w:t>
      </w:r>
      <w:r w:rsidR="00234983">
        <w:rPr>
          <w:rFonts w:cstheme="minorHAnsi"/>
        </w:rPr>
        <w:t xml:space="preserve">, </w:t>
      </w:r>
      <w:r w:rsidRPr="00ED5869">
        <w:rPr>
          <w:rFonts w:cstheme="minorHAnsi"/>
        </w:rPr>
        <w:t>as well as used in the calculation of market values</w:t>
      </w:r>
      <w:r w:rsidR="00234983">
        <w:rPr>
          <w:rFonts w:cstheme="minorHAnsi"/>
        </w:rPr>
        <w:t xml:space="preserve">, </w:t>
      </w:r>
      <w:r w:rsidRPr="00ED5869">
        <w:rPr>
          <w:rFonts w:cstheme="minorHAnsi"/>
        </w:rPr>
        <w:t>later in the report.</w:t>
      </w:r>
    </w:p>
    <w:p w14:paraId="0040327F" w14:textId="77777777" w:rsidR="008F25B7" w:rsidRDefault="008F25B7" w:rsidP="001803A2">
      <w:pPr>
        <w:spacing w:after="0"/>
        <w:ind w:right="80"/>
        <w:rPr>
          <w:rFonts w:cstheme="minorHAnsi"/>
          <w:b/>
          <w:bCs/>
        </w:rPr>
      </w:pPr>
    </w:p>
    <w:p w14:paraId="17192803" w14:textId="33AFF469" w:rsidR="001803A2" w:rsidRPr="00234983" w:rsidRDefault="001803A2" w:rsidP="001803A2">
      <w:pPr>
        <w:spacing w:after="0"/>
        <w:ind w:right="80"/>
        <w:rPr>
          <w:rFonts w:cstheme="minorHAnsi"/>
          <w:b/>
          <w:bCs/>
          <w:u w:val="single"/>
        </w:rPr>
      </w:pPr>
      <w:r w:rsidRPr="00234983">
        <w:rPr>
          <w:rFonts w:cstheme="minorHAnsi"/>
          <w:b/>
          <w:bCs/>
          <w:u w:val="single"/>
        </w:rPr>
        <w:t>Assumptions Impacting Gap</w:t>
      </w:r>
    </w:p>
    <w:p w14:paraId="3B20B66F" w14:textId="77777777" w:rsidR="001803A2" w:rsidRPr="00ED5869" w:rsidRDefault="001803A2" w:rsidP="001803A2">
      <w:pPr>
        <w:spacing w:after="0"/>
        <w:ind w:right="80"/>
        <w:rPr>
          <w:rFonts w:cstheme="minorHAnsi"/>
        </w:rPr>
      </w:pPr>
      <w:r w:rsidRPr="00ED5869">
        <w:rPr>
          <w:rFonts w:cstheme="minorHAnsi"/>
        </w:rPr>
        <w:t>The default assumptions in the program are calculated from historical relationships and/or industry standards when there is a lack of information. RiskGPS allows the banker to refine and change these assumptions to build a more realistic analysis.</w:t>
      </w:r>
    </w:p>
    <w:p w14:paraId="0E93C2AC" w14:textId="77777777" w:rsidR="008F25B7" w:rsidRDefault="008F25B7" w:rsidP="001803A2">
      <w:pPr>
        <w:spacing w:after="0"/>
        <w:ind w:right="80"/>
        <w:rPr>
          <w:rFonts w:cstheme="minorHAnsi"/>
        </w:rPr>
      </w:pPr>
    </w:p>
    <w:p w14:paraId="0E01D1E0" w14:textId="13A8A3D4" w:rsidR="001803A2" w:rsidRPr="00234983" w:rsidRDefault="001803A2" w:rsidP="00234983">
      <w:pPr>
        <w:pStyle w:val="ListParagraph"/>
        <w:numPr>
          <w:ilvl w:val="0"/>
          <w:numId w:val="61"/>
        </w:numPr>
        <w:spacing w:after="0"/>
        <w:ind w:right="80"/>
        <w:rPr>
          <w:rFonts w:cstheme="minorHAnsi"/>
          <w:b/>
          <w:bCs/>
        </w:rPr>
      </w:pPr>
      <w:r w:rsidRPr="00234983">
        <w:rPr>
          <w:rFonts w:cstheme="minorHAnsi"/>
          <w:b/>
          <w:bCs/>
        </w:rPr>
        <w:t>Beta Assumptions</w:t>
      </w:r>
    </w:p>
    <w:p w14:paraId="21AFB9D6" w14:textId="76A7AB5D" w:rsidR="001803A2" w:rsidRPr="00234983" w:rsidRDefault="001803A2" w:rsidP="00234983">
      <w:pPr>
        <w:spacing w:after="0"/>
        <w:ind w:left="360" w:right="80"/>
        <w:rPr>
          <w:rFonts w:cstheme="minorHAnsi"/>
        </w:rPr>
      </w:pPr>
      <w:r w:rsidRPr="00ED5869">
        <w:rPr>
          <w:rFonts w:cstheme="minorHAnsi"/>
        </w:rPr>
        <w:t xml:space="preserve">Impact on the distribution of non-maturing balances in the Gap report. The program performs a historical analysis of the relationship between the change in rate on the account and interest rate changes as seen in the movement of the six-month T-Bill rate. These analyses are separated into rising and </w:t>
      </w:r>
      <w:proofErr w:type="gramStart"/>
      <w:r w:rsidRPr="00ED5869">
        <w:rPr>
          <w:rFonts w:cstheme="minorHAnsi"/>
        </w:rPr>
        <w:t>falling rate</w:t>
      </w:r>
      <w:proofErr w:type="gramEnd"/>
      <w:r w:rsidRPr="00ED5869">
        <w:rPr>
          <w:rFonts w:cstheme="minorHAnsi"/>
        </w:rPr>
        <w:t xml:space="preserve"> environments.</w:t>
      </w:r>
      <w:r w:rsidR="00234983">
        <w:rPr>
          <w:rFonts w:cstheme="minorHAnsi"/>
        </w:rPr>
        <w:t xml:space="preserve"> </w:t>
      </w:r>
      <w:r w:rsidRPr="00234983">
        <w:rPr>
          <w:rFonts w:cstheme="minorHAnsi"/>
          <w:i/>
          <w:iCs/>
        </w:rPr>
        <w:t>The user can develop an even more accurate relationship for the analysis by answering the question:</w:t>
      </w:r>
      <w:r w:rsidR="00234983">
        <w:rPr>
          <w:rFonts w:cstheme="minorHAnsi"/>
        </w:rPr>
        <w:t xml:space="preserve"> “</w:t>
      </w:r>
      <w:r w:rsidRPr="00234983">
        <w:rPr>
          <w:rFonts w:cstheme="minorHAnsi"/>
          <w:i/>
          <w:iCs/>
        </w:rPr>
        <w:t>How would the bank change its offering rate if rates were to rise or fall 100bp over the next twelve months?</w:t>
      </w:r>
      <w:r w:rsidR="00234983">
        <w:rPr>
          <w:rFonts w:cstheme="minorHAnsi"/>
          <w:i/>
          <w:iCs/>
        </w:rPr>
        <w:t>”</w:t>
      </w:r>
      <w:r w:rsidRPr="00234983">
        <w:rPr>
          <w:rFonts w:cstheme="minorHAnsi"/>
          <w:i/>
          <w:iCs/>
        </w:rPr>
        <w:t>.</w:t>
      </w:r>
    </w:p>
    <w:p w14:paraId="6D791617" w14:textId="77777777" w:rsidR="001803A2" w:rsidRPr="00ED5869" w:rsidRDefault="001803A2" w:rsidP="001803A2">
      <w:pPr>
        <w:spacing w:after="0"/>
        <w:ind w:right="80"/>
        <w:rPr>
          <w:rFonts w:cstheme="minorHAnsi"/>
        </w:rPr>
      </w:pPr>
    </w:p>
    <w:p w14:paraId="595157E8" w14:textId="77777777" w:rsidR="001803A2" w:rsidRPr="00ED5869" w:rsidRDefault="001803A2" w:rsidP="00234983">
      <w:pPr>
        <w:spacing w:after="0"/>
        <w:ind w:right="-90"/>
        <w:rPr>
          <w:rFonts w:cstheme="minorHAnsi"/>
        </w:rPr>
      </w:pPr>
      <w:r w:rsidRPr="00ED5869">
        <w:rPr>
          <w:rFonts w:cstheme="minorHAnsi"/>
        </w:rPr>
        <w:t xml:space="preserve">Research indicates that when assigning </w:t>
      </w:r>
      <w:r w:rsidRPr="00234983">
        <w:rPr>
          <w:rFonts w:cstheme="minorHAnsi"/>
          <w:b/>
          <w:bCs/>
        </w:rPr>
        <w:t>Betas for CDs</w:t>
      </w:r>
      <w:r w:rsidRPr="00ED5869">
        <w:rPr>
          <w:rFonts w:cstheme="minorHAnsi"/>
        </w:rPr>
        <w:t xml:space="preserve">, the banker should set the rate based on a percentage (Beta) of Fed Funds. The initial assumption is set to the research (default) value of 71%, indicating that the new rate on CDs will change 71% of the rate change level in both the Simulation of </w:t>
      </w:r>
      <w:r w:rsidRPr="00ED5869">
        <w:rPr>
          <w:rFonts w:cstheme="minorHAnsi"/>
        </w:rPr>
        <w:lastRenderedPageBreak/>
        <w:t xml:space="preserve">NIM and the calculation of EVE at each level. You may change this percentage in the Deposit Assumptions for both regular and jumbo CDs. </w:t>
      </w:r>
    </w:p>
    <w:p w14:paraId="20A63A52" w14:textId="77777777" w:rsidR="001803A2" w:rsidRPr="00ED5869" w:rsidRDefault="001803A2" w:rsidP="001803A2">
      <w:pPr>
        <w:spacing w:after="0"/>
        <w:ind w:right="80"/>
        <w:rPr>
          <w:rFonts w:cstheme="minorHAnsi"/>
        </w:rPr>
      </w:pPr>
    </w:p>
    <w:p w14:paraId="241829DE" w14:textId="1C5F5575" w:rsidR="001803A2" w:rsidRPr="008F25B7" w:rsidRDefault="001803A2" w:rsidP="001803A2">
      <w:pPr>
        <w:spacing w:after="0"/>
        <w:ind w:right="80"/>
        <w:rPr>
          <w:rFonts w:cstheme="minorHAnsi"/>
          <w:b/>
          <w:bCs/>
        </w:rPr>
      </w:pPr>
      <w:r w:rsidRPr="008F25B7">
        <w:rPr>
          <w:rFonts w:cstheme="minorHAnsi"/>
          <w:b/>
          <w:bCs/>
        </w:rPr>
        <w:t xml:space="preserve">Net Interest Margin </w:t>
      </w:r>
      <w:r w:rsidR="00234983">
        <w:rPr>
          <w:rFonts w:cstheme="minorHAnsi"/>
          <w:b/>
          <w:bCs/>
        </w:rPr>
        <w:t xml:space="preserve">(NIM) </w:t>
      </w:r>
      <w:r w:rsidRPr="008F25B7">
        <w:rPr>
          <w:rFonts w:cstheme="minorHAnsi"/>
          <w:b/>
          <w:bCs/>
        </w:rPr>
        <w:t>Simulation Calculations</w:t>
      </w:r>
    </w:p>
    <w:p w14:paraId="2E71DFE9" w14:textId="158BFBAB" w:rsidR="001803A2" w:rsidRPr="00ED5869" w:rsidRDefault="001803A2" w:rsidP="001803A2">
      <w:pPr>
        <w:spacing w:after="0"/>
        <w:ind w:right="80"/>
        <w:rPr>
          <w:rFonts w:cstheme="minorHAnsi"/>
        </w:rPr>
      </w:pPr>
      <w:r w:rsidRPr="00ED5869">
        <w:rPr>
          <w:rFonts w:cstheme="minorHAnsi"/>
        </w:rPr>
        <w:t>Simulation of the new interest margin under varying interest rate conditions is becoming the method of choice by regulators as it incorporates optionality in the analysis.</w:t>
      </w:r>
      <w:r w:rsidR="008F25B7">
        <w:rPr>
          <w:rFonts w:cstheme="minorHAnsi"/>
        </w:rPr>
        <w:t xml:space="preserve"> </w:t>
      </w:r>
      <w:r w:rsidRPr="00ED5869">
        <w:rPr>
          <w:rFonts w:cstheme="minorHAnsi"/>
        </w:rPr>
        <w:t>Note: NIM simulation is executed without balance sheet growth or mix-change effect.</w:t>
      </w:r>
    </w:p>
    <w:p w14:paraId="61A7C935" w14:textId="77777777" w:rsidR="001803A2" w:rsidRPr="00ED5869" w:rsidRDefault="001803A2" w:rsidP="001803A2">
      <w:pPr>
        <w:spacing w:after="0"/>
        <w:ind w:right="80"/>
        <w:rPr>
          <w:rFonts w:cstheme="minorHAnsi"/>
        </w:rPr>
      </w:pPr>
    </w:p>
    <w:p w14:paraId="7CDECEBE" w14:textId="105E39E8" w:rsidR="001803A2" w:rsidRPr="008F25B7" w:rsidRDefault="001803A2" w:rsidP="001803A2">
      <w:pPr>
        <w:spacing w:after="0"/>
        <w:ind w:right="80"/>
        <w:rPr>
          <w:rFonts w:cstheme="minorHAnsi"/>
          <w:b/>
          <w:bCs/>
        </w:rPr>
      </w:pPr>
      <w:r w:rsidRPr="008F25B7">
        <w:rPr>
          <w:rFonts w:cstheme="minorHAnsi"/>
          <w:b/>
          <w:bCs/>
        </w:rPr>
        <w:t>Prepayment Assumptions</w:t>
      </w:r>
    </w:p>
    <w:p w14:paraId="0AAE3CB9" w14:textId="77777777" w:rsidR="001803A2" w:rsidRPr="00ED5869" w:rsidRDefault="001803A2" w:rsidP="001803A2">
      <w:pPr>
        <w:spacing w:after="0"/>
        <w:ind w:right="80"/>
        <w:jc w:val="both"/>
        <w:rPr>
          <w:rFonts w:cstheme="minorHAnsi"/>
        </w:rPr>
      </w:pPr>
      <w:r w:rsidRPr="00ED5869">
        <w:rPr>
          <w:rFonts w:cstheme="minorHAnsi"/>
        </w:rPr>
        <w:t xml:space="preserve">Plansmith Defaults for Prepayment Assumptions are estimates based on Plansmith’s analysis of </w:t>
      </w:r>
      <w:proofErr w:type="gramStart"/>
      <w:r w:rsidRPr="00ED5869">
        <w:rPr>
          <w:rFonts w:cstheme="minorHAnsi"/>
        </w:rPr>
        <w:t>recent industry</w:t>
      </w:r>
      <w:proofErr w:type="gramEnd"/>
      <w:r w:rsidRPr="00ED5869">
        <w:rPr>
          <w:rFonts w:cstheme="minorHAnsi"/>
        </w:rPr>
        <w:t xml:space="preserve"> client data. The user should review these assumptions and make changes appropriate to their bank’s risk profile and market conditions. It is also highly recommended that the user run alternative prepayment scenarios to analyze the impact on results due to assumption changes.</w:t>
      </w:r>
    </w:p>
    <w:p w14:paraId="595C35AF" w14:textId="77777777" w:rsidR="001803A2" w:rsidRPr="00ED5869" w:rsidRDefault="001803A2" w:rsidP="001803A2">
      <w:pPr>
        <w:spacing w:after="0"/>
        <w:ind w:right="80"/>
        <w:rPr>
          <w:rFonts w:cstheme="minorHAnsi"/>
        </w:rPr>
      </w:pPr>
    </w:p>
    <w:p w14:paraId="77547EC1" w14:textId="47D99FD9" w:rsidR="001803A2" w:rsidRPr="00ED5869" w:rsidRDefault="001803A2" w:rsidP="008F25B7">
      <w:pPr>
        <w:spacing w:after="0"/>
        <w:ind w:right="-90"/>
        <w:rPr>
          <w:rFonts w:cstheme="minorHAnsi"/>
        </w:rPr>
      </w:pPr>
      <w:r w:rsidRPr="00A26CD9">
        <w:rPr>
          <w:rFonts w:cstheme="minorHAnsi"/>
          <w:b/>
          <w:bCs/>
          <w:i/>
          <w:iCs/>
        </w:rPr>
        <w:t xml:space="preserve">Prepayment speeds are applied to </w:t>
      </w:r>
      <w:r w:rsidR="00A861F3" w:rsidRPr="00A26CD9">
        <w:rPr>
          <w:rFonts w:cstheme="minorHAnsi"/>
          <w:b/>
          <w:bCs/>
          <w:i/>
          <w:iCs/>
        </w:rPr>
        <w:t>all loa</w:t>
      </w:r>
      <w:r w:rsidRPr="00A26CD9">
        <w:rPr>
          <w:rFonts w:cstheme="minorHAnsi"/>
          <w:b/>
          <w:bCs/>
          <w:i/>
          <w:iCs/>
        </w:rPr>
        <w:t>ns</w:t>
      </w:r>
      <w:r w:rsidR="00A26CD9">
        <w:rPr>
          <w:rFonts w:cstheme="minorHAnsi"/>
          <w:b/>
          <w:bCs/>
          <w:i/>
          <w:iCs/>
        </w:rPr>
        <w:t xml:space="preserve">, </w:t>
      </w:r>
      <w:r w:rsidRPr="00A26CD9">
        <w:rPr>
          <w:rFonts w:cstheme="minorHAnsi"/>
          <w:b/>
          <w:bCs/>
          <w:i/>
          <w:iCs/>
        </w:rPr>
        <w:t>MBS</w:t>
      </w:r>
      <w:r w:rsidR="00A26CD9">
        <w:rPr>
          <w:rFonts w:cstheme="minorHAnsi"/>
          <w:b/>
          <w:bCs/>
          <w:i/>
          <w:iCs/>
        </w:rPr>
        <w:t xml:space="preserve">, </w:t>
      </w:r>
      <w:r w:rsidRPr="00A26CD9">
        <w:rPr>
          <w:rFonts w:cstheme="minorHAnsi"/>
          <w:b/>
          <w:bCs/>
          <w:i/>
          <w:iCs/>
        </w:rPr>
        <w:t>and CMOs</w:t>
      </w:r>
      <w:r w:rsidRPr="00A26CD9">
        <w:rPr>
          <w:rFonts w:cstheme="minorHAnsi"/>
          <w:i/>
          <w:iCs/>
        </w:rPr>
        <w:t>.</w:t>
      </w:r>
      <w:r w:rsidR="008F25B7">
        <w:rPr>
          <w:rFonts w:cstheme="minorHAnsi"/>
        </w:rPr>
        <w:t xml:space="preserve"> </w:t>
      </w:r>
      <w:r w:rsidRPr="00ED5869">
        <w:rPr>
          <w:rFonts w:cstheme="minorHAnsi"/>
        </w:rPr>
        <w:t>Callable bond data described earlier is also applied in the simulation for each rate level.  As rates rise, bond calls will mostly likely decline; they will likely increase as rates fall</w:t>
      </w:r>
      <w:r w:rsidR="008F25B7">
        <w:rPr>
          <w:rFonts w:cstheme="minorHAnsi"/>
        </w:rPr>
        <w:t xml:space="preserve">. </w:t>
      </w:r>
      <w:r w:rsidR="008F25B7" w:rsidRPr="00ED5869">
        <w:rPr>
          <w:rFonts w:cstheme="minorHAnsi"/>
        </w:rPr>
        <w:t>Both</w:t>
      </w:r>
      <w:r w:rsidRPr="00ED5869">
        <w:rPr>
          <w:rFonts w:cstheme="minorHAnsi"/>
        </w:rPr>
        <w:t xml:space="preserve"> situations – prepayments and callability – will result in a non-linear profile between interest income and Net Interest Margin as market rates change.</w:t>
      </w:r>
    </w:p>
    <w:p w14:paraId="7F8FBB4E" w14:textId="77777777" w:rsidR="001803A2" w:rsidRPr="00ED5869" w:rsidRDefault="001803A2" w:rsidP="001803A2">
      <w:pPr>
        <w:spacing w:after="0"/>
        <w:ind w:right="80"/>
        <w:rPr>
          <w:rFonts w:cstheme="minorHAnsi"/>
        </w:rPr>
      </w:pPr>
    </w:p>
    <w:p w14:paraId="48118FA7" w14:textId="72BBDF5F" w:rsidR="001803A2" w:rsidRPr="008F25B7" w:rsidRDefault="001803A2" w:rsidP="001803A2">
      <w:pPr>
        <w:spacing w:after="0"/>
        <w:ind w:right="80"/>
        <w:rPr>
          <w:rFonts w:cstheme="minorHAnsi"/>
          <w:b/>
          <w:bCs/>
        </w:rPr>
      </w:pPr>
      <w:r w:rsidRPr="008F25B7">
        <w:rPr>
          <w:rFonts w:cstheme="minorHAnsi"/>
          <w:b/>
          <w:bCs/>
        </w:rPr>
        <w:t>Application of Rate Changes</w:t>
      </w:r>
    </w:p>
    <w:p w14:paraId="3D14DEE2" w14:textId="7C88A994" w:rsidR="001803A2" w:rsidRPr="00234983" w:rsidRDefault="001803A2" w:rsidP="001803A2">
      <w:pPr>
        <w:spacing w:after="0"/>
        <w:ind w:right="80"/>
        <w:rPr>
          <w:rFonts w:cstheme="minorHAnsi"/>
          <w:i/>
          <w:iCs/>
        </w:rPr>
      </w:pPr>
      <w:r w:rsidRPr="008F25B7">
        <w:rPr>
          <w:rFonts w:cstheme="minorHAnsi"/>
          <w:i/>
          <w:iCs/>
        </w:rPr>
        <w:t>The maturing balance categories (Loans, Securities, CDs, and Maturities</w:t>
      </w:r>
      <w:r w:rsidR="008F25B7">
        <w:rPr>
          <w:rFonts w:cstheme="minorHAnsi"/>
          <w:i/>
          <w:iCs/>
        </w:rPr>
        <w:t xml:space="preserve">, </w:t>
      </w:r>
      <w:r w:rsidRPr="008F25B7">
        <w:rPr>
          <w:rFonts w:cstheme="minorHAnsi"/>
          <w:i/>
          <w:iCs/>
        </w:rPr>
        <w:t xml:space="preserve">including prepayments) are subtracted from the current balance at the old </w:t>
      </w:r>
      <w:r w:rsidR="008F25B7" w:rsidRPr="008F25B7">
        <w:rPr>
          <w:rFonts w:cstheme="minorHAnsi"/>
          <w:i/>
          <w:iCs/>
        </w:rPr>
        <w:t>rate and</w:t>
      </w:r>
      <w:r w:rsidRPr="008F25B7">
        <w:rPr>
          <w:rFonts w:cstheme="minorHAnsi"/>
          <w:i/>
          <w:iCs/>
        </w:rPr>
        <w:t xml:space="preserve"> replaced at the new rate based on the rate change scenario. In the case of CDs, the new rates used are 71% of the shock rate. This is the result of research </w:t>
      </w:r>
      <w:r w:rsidR="00234983" w:rsidRPr="008F25B7">
        <w:rPr>
          <w:rFonts w:cstheme="minorHAnsi"/>
          <w:i/>
          <w:iCs/>
        </w:rPr>
        <w:t>carried out</w:t>
      </w:r>
      <w:r w:rsidRPr="008F25B7">
        <w:rPr>
          <w:rFonts w:cstheme="minorHAnsi"/>
          <w:i/>
          <w:iCs/>
        </w:rPr>
        <w:t xml:space="preserve"> on the average Beta for renewing CDs.</w:t>
      </w:r>
      <w:r w:rsidR="00234983">
        <w:rPr>
          <w:rFonts w:cstheme="minorHAnsi"/>
          <w:i/>
          <w:iCs/>
        </w:rPr>
        <w:t xml:space="preserve"> </w:t>
      </w:r>
      <w:r w:rsidRPr="00ED5869">
        <w:rPr>
          <w:rFonts w:cstheme="minorHAnsi"/>
        </w:rPr>
        <w:t>The new volume and rate are blended into the remaining balances to calculate the interest on the category. The RiskGPS system uses the old portfolio yield as the roll-off rate on the maturities.</w:t>
      </w:r>
      <w:r w:rsidR="008F25B7">
        <w:rPr>
          <w:rFonts w:cstheme="minorHAnsi"/>
        </w:rPr>
        <w:t xml:space="preserve"> </w:t>
      </w:r>
      <w:r w:rsidRPr="00ED5869">
        <w:rPr>
          <w:rFonts w:cstheme="minorHAnsi"/>
        </w:rPr>
        <w:t>Note: the program uses the Tax Equivalent Yield on Securities to calculate interest income.</w:t>
      </w:r>
    </w:p>
    <w:p w14:paraId="64B7662E" w14:textId="77777777" w:rsidR="001803A2" w:rsidRPr="00ED5869" w:rsidRDefault="001803A2" w:rsidP="001803A2">
      <w:pPr>
        <w:spacing w:after="0"/>
        <w:ind w:right="80"/>
        <w:rPr>
          <w:rFonts w:cstheme="minorHAnsi"/>
        </w:rPr>
      </w:pPr>
    </w:p>
    <w:p w14:paraId="6AD7E9FF" w14:textId="5D5EFDC2" w:rsidR="001803A2" w:rsidRPr="00ED5869" w:rsidRDefault="001803A2" w:rsidP="001803A2">
      <w:pPr>
        <w:spacing w:after="0"/>
        <w:ind w:right="80"/>
        <w:rPr>
          <w:rFonts w:cstheme="minorHAnsi"/>
        </w:rPr>
      </w:pPr>
      <w:r w:rsidRPr="008F25B7">
        <w:rPr>
          <w:rFonts w:cstheme="minorHAnsi"/>
          <w:i/>
          <w:iCs/>
        </w:rPr>
        <w:t xml:space="preserve">Non-Maturing categories such as MMDA and Savings do not have </w:t>
      </w:r>
      <w:proofErr w:type="gramStart"/>
      <w:r w:rsidR="008F25B7" w:rsidRPr="008F25B7">
        <w:rPr>
          <w:rFonts w:cstheme="minorHAnsi"/>
          <w:i/>
          <w:iCs/>
        </w:rPr>
        <w:t>maturities</w:t>
      </w:r>
      <w:proofErr w:type="gramEnd"/>
      <w:r w:rsidR="008F25B7" w:rsidRPr="008F25B7">
        <w:rPr>
          <w:rFonts w:cstheme="minorHAnsi"/>
          <w:i/>
          <w:iCs/>
        </w:rPr>
        <w:t>,</w:t>
      </w:r>
      <w:r w:rsidRPr="008F25B7">
        <w:rPr>
          <w:rFonts w:cstheme="minorHAnsi"/>
          <w:i/>
          <w:iCs/>
        </w:rPr>
        <w:t xml:space="preserve"> and the entire portfolio is re-priced at the new rate. However, the new category rate is calculated using its Beta factor.</w:t>
      </w:r>
      <w:r w:rsidRPr="00ED5869">
        <w:rPr>
          <w:rFonts w:cstheme="minorHAnsi"/>
        </w:rPr>
        <w:t xml:space="preserve"> For example, if the Beta on the account is 25%, then the rate change for that category is the old rate plus the change in the market rate level, multiplied by 25%. The new rate is used to calculate </w:t>
      </w:r>
      <w:r w:rsidR="008F25B7" w:rsidRPr="00ED5869">
        <w:rPr>
          <w:rFonts w:cstheme="minorHAnsi"/>
        </w:rPr>
        <w:t>interest</w:t>
      </w:r>
      <w:r w:rsidRPr="00ED5869">
        <w:rPr>
          <w:rFonts w:cstheme="minorHAnsi"/>
        </w:rPr>
        <w:t xml:space="preserve"> </w:t>
      </w:r>
      <w:proofErr w:type="gramStart"/>
      <w:r w:rsidRPr="00ED5869">
        <w:rPr>
          <w:rFonts w:cstheme="minorHAnsi"/>
        </w:rPr>
        <w:t>on</w:t>
      </w:r>
      <w:proofErr w:type="gramEnd"/>
      <w:r w:rsidRPr="00ED5869">
        <w:rPr>
          <w:rFonts w:cstheme="minorHAnsi"/>
        </w:rPr>
        <w:t xml:space="preserve"> that category.</w:t>
      </w:r>
    </w:p>
    <w:p w14:paraId="7838BC11" w14:textId="77777777" w:rsidR="001803A2" w:rsidRPr="00ED5869" w:rsidRDefault="001803A2" w:rsidP="001803A2">
      <w:pPr>
        <w:spacing w:after="0"/>
        <w:ind w:right="80"/>
        <w:rPr>
          <w:rFonts w:cstheme="minorHAnsi"/>
        </w:rPr>
      </w:pPr>
    </w:p>
    <w:p w14:paraId="3393CFB0" w14:textId="634B0C6F" w:rsidR="001803A2" w:rsidRPr="00ED5869" w:rsidRDefault="001803A2" w:rsidP="001803A2">
      <w:pPr>
        <w:spacing w:after="0"/>
        <w:ind w:right="80"/>
        <w:rPr>
          <w:rFonts w:cstheme="minorHAnsi"/>
        </w:rPr>
      </w:pPr>
      <w:r w:rsidRPr="008F25B7">
        <w:rPr>
          <w:rFonts w:cstheme="minorHAnsi"/>
          <w:i/>
          <w:iCs/>
        </w:rPr>
        <w:t>The result of these calculations for each category is summarized in the program report.</w:t>
      </w:r>
      <w:r w:rsidRPr="00ED5869">
        <w:rPr>
          <w:rFonts w:cstheme="minorHAnsi"/>
        </w:rPr>
        <w:t xml:space="preserve"> The chart at the bottom of the report displays the Net Interest Margin</w:t>
      </w:r>
      <w:r w:rsidR="008F25B7">
        <w:rPr>
          <w:rFonts w:cstheme="minorHAnsi"/>
        </w:rPr>
        <w:t xml:space="preserve">. The formula is </w:t>
      </w:r>
      <w:r w:rsidRPr="00ED5869">
        <w:rPr>
          <w:rFonts w:cstheme="minorHAnsi"/>
        </w:rPr>
        <w:t xml:space="preserve">(Interest Income-Interest Expense)/Total Earning Assets. </w:t>
      </w:r>
      <w:r w:rsidRPr="008F25B7">
        <w:rPr>
          <w:rFonts w:cstheme="minorHAnsi"/>
          <w:i/>
          <w:iCs/>
        </w:rPr>
        <w:t xml:space="preserve">The Minimum Required NIM is also shown on the chart as a benchmark against which to measure severity of the risk. The difference between the Simulated NIM and the Minimum is the Risk Tolerance. </w:t>
      </w:r>
      <w:r w:rsidR="008F25B7" w:rsidRPr="008F25B7">
        <w:rPr>
          <w:rFonts w:cstheme="minorHAnsi"/>
          <w:i/>
          <w:iCs/>
        </w:rPr>
        <w:t>If</w:t>
      </w:r>
      <w:r w:rsidRPr="008F25B7">
        <w:rPr>
          <w:rFonts w:cstheme="minorHAnsi"/>
          <w:i/>
          <w:iCs/>
        </w:rPr>
        <w:t xml:space="preserve"> the NIM is above the Minimum, the bank will continue to protect its capital ratio. When the NIM falls below the Minimum, it indicates that the capital ratio could fall.</w:t>
      </w:r>
    </w:p>
    <w:p w14:paraId="489361FD" w14:textId="77777777" w:rsidR="001803A2" w:rsidRPr="00ED5869" w:rsidRDefault="001803A2" w:rsidP="001803A2">
      <w:pPr>
        <w:spacing w:after="0"/>
        <w:ind w:right="80"/>
        <w:rPr>
          <w:rFonts w:cstheme="minorHAnsi"/>
        </w:rPr>
      </w:pPr>
    </w:p>
    <w:p w14:paraId="489B4043" w14:textId="77777777" w:rsidR="00C37BA2" w:rsidRDefault="00C37BA2" w:rsidP="001803A2">
      <w:pPr>
        <w:spacing w:after="0"/>
        <w:ind w:right="80"/>
        <w:rPr>
          <w:rFonts w:cstheme="minorHAnsi"/>
          <w:b/>
          <w:bCs/>
        </w:rPr>
      </w:pPr>
    </w:p>
    <w:p w14:paraId="5922F296" w14:textId="1639F5E6" w:rsidR="001803A2" w:rsidRPr="008F25B7" w:rsidRDefault="001803A2" w:rsidP="001803A2">
      <w:pPr>
        <w:spacing w:after="0"/>
        <w:ind w:right="80"/>
        <w:rPr>
          <w:rFonts w:cstheme="minorHAnsi"/>
          <w:b/>
          <w:bCs/>
        </w:rPr>
      </w:pPr>
      <w:r w:rsidRPr="008F25B7">
        <w:rPr>
          <w:rFonts w:cstheme="minorHAnsi"/>
          <w:b/>
          <w:bCs/>
        </w:rPr>
        <w:lastRenderedPageBreak/>
        <w:t>Back-Testing of Net Interest Margin</w:t>
      </w:r>
      <w:r w:rsidR="00234983">
        <w:rPr>
          <w:rFonts w:cstheme="minorHAnsi"/>
          <w:b/>
          <w:bCs/>
        </w:rPr>
        <w:t xml:space="preserve"> (NIM)</w:t>
      </w:r>
    </w:p>
    <w:p w14:paraId="2CC14FDE" w14:textId="1C7F795F" w:rsidR="001803A2" w:rsidRPr="00ED5869" w:rsidRDefault="001803A2" w:rsidP="001803A2">
      <w:pPr>
        <w:spacing w:after="0"/>
        <w:ind w:right="80"/>
        <w:rPr>
          <w:rFonts w:cstheme="minorHAnsi"/>
        </w:rPr>
      </w:pPr>
      <w:r w:rsidRPr="00ED5869">
        <w:rPr>
          <w:rFonts w:cstheme="minorHAnsi"/>
        </w:rPr>
        <w:t xml:space="preserve">RiskGPS provides an automated back-testing analysis to measure the reasonability of the projected change to net interest margin as anticipated by the Rate Shock Projected Margin, as </w:t>
      </w:r>
      <w:r w:rsidR="008F25B7" w:rsidRPr="00ED5869">
        <w:rPr>
          <w:rFonts w:cstheme="minorHAnsi"/>
        </w:rPr>
        <w:t>compared to</w:t>
      </w:r>
      <w:r w:rsidRPr="00ED5869">
        <w:rPr>
          <w:rFonts w:cstheme="minorHAnsi"/>
        </w:rPr>
        <w:t xml:space="preserve"> the actual change in net interest margin of the same </w:t>
      </w:r>
      <w:r w:rsidR="00234983" w:rsidRPr="00ED5869">
        <w:rPr>
          <w:rFonts w:cstheme="minorHAnsi"/>
        </w:rPr>
        <w:t>period</w:t>
      </w:r>
      <w:r w:rsidRPr="00ED5869">
        <w:rPr>
          <w:rFonts w:cstheme="minorHAnsi"/>
        </w:rPr>
        <w:t>. It does so by using the historical data as well as the historical projected rates for those periods.</w:t>
      </w:r>
    </w:p>
    <w:p w14:paraId="0F21B64B" w14:textId="77777777" w:rsidR="001803A2" w:rsidRPr="00ED5869" w:rsidRDefault="001803A2" w:rsidP="001803A2">
      <w:pPr>
        <w:spacing w:after="0"/>
        <w:ind w:right="80"/>
        <w:rPr>
          <w:rFonts w:cstheme="minorHAnsi"/>
        </w:rPr>
      </w:pPr>
    </w:p>
    <w:p w14:paraId="1B5B0908" w14:textId="77777777" w:rsidR="001803A2" w:rsidRPr="00ED5869" w:rsidRDefault="001803A2" w:rsidP="001803A2">
      <w:pPr>
        <w:spacing w:after="0"/>
        <w:ind w:right="80"/>
        <w:rPr>
          <w:rFonts w:cstheme="minorHAnsi"/>
        </w:rPr>
      </w:pPr>
      <w:r w:rsidRPr="00ED5869">
        <w:rPr>
          <w:rFonts w:cstheme="minorHAnsi"/>
        </w:rPr>
        <w:t>This service can be performed by Plansmith’s Advisory Services team or an outside third party; however, this is not usually required with models that are Call Report driven, as the assumptions are not as complex.</w:t>
      </w:r>
    </w:p>
    <w:p w14:paraId="0E762AB6" w14:textId="77777777" w:rsidR="001803A2" w:rsidRPr="00ED5869" w:rsidRDefault="001803A2" w:rsidP="001803A2">
      <w:pPr>
        <w:spacing w:after="0"/>
        <w:ind w:right="80"/>
        <w:rPr>
          <w:rFonts w:cstheme="minorHAnsi"/>
        </w:rPr>
      </w:pPr>
    </w:p>
    <w:p w14:paraId="6651416F" w14:textId="77777777" w:rsidR="001803A2" w:rsidRPr="008F25B7" w:rsidRDefault="001803A2" w:rsidP="001803A2">
      <w:pPr>
        <w:spacing w:after="0"/>
        <w:ind w:right="80"/>
        <w:rPr>
          <w:rFonts w:cstheme="minorHAnsi"/>
          <w:i/>
          <w:iCs/>
        </w:rPr>
      </w:pPr>
      <w:r w:rsidRPr="008F25B7">
        <w:rPr>
          <w:rFonts w:cstheme="minorHAnsi"/>
          <w:i/>
          <w:iCs/>
        </w:rPr>
        <w:t xml:space="preserve">Using identical calculations, a margin is determined for historical periods (up to 4 years back) using the </w:t>
      </w:r>
      <w:r w:rsidRPr="008F25B7">
        <w:rPr>
          <w:rFonts w:cstheme="minorHAnsi"/>
          <w:i/>
          <w:iCs/>
          <w:u w:val="single" w:color="000000"/>
        </w:rPr>
        <w:t>projected rate</w:t>
      </w:r>
      <w:r w:rsidRPr="008F25B7">
        <w:rPr>
          <w:rFonts w:cstheme="minorHAnsi"/>
          <w:i/>
          <w:iCs/>
        </w:rPr>
        <w:t xml:space="preserve"> </w:t>
      </w:r>
      <w:r w:rsidRPr="008F25B7">
        <w:rPr>
          <w:rFonts w:cstheme="minorHAnsi"/>
          <w:i/>
          <w:iCs/>
          <w:u w:val="single" w:color="000000"/>
        </w:rPr>
        <w:t>forecast</w:t>
      </w:r>
      <w:r w:rsidRPr="008F25B7">
        <w:rPr>
          <w:rFonts w:cstheme="minorHAnsi"/>
          <w:i/>
          <w:iCs/>
        </w:rPr>
        <w:t xml:space="preserve"> for those periods. The projected change in Net Interest Margin is compared to the actual change in Net Interest Margin and a variance/error is then determined. The absolute value of variances is averaged to create the Average Error over the past 4 years and is reported on the bottom of page 15a, expressed as +/- basis points.</w:t>
      </w:r>
    </w:p>
    <w:p w14:paraId="56483DCD" w14:textId="77777777" w:rsidR="001803A2" w:rsidRPr="00ED5869" w:rsidRDefault="001803A2" w:rsidP="001803A2">
      <w:pPr>
        <w:spacing w:after="0"/>
        <w:ind w:right="80"/>
        <w:rPr>
          <w:rFonts w:cstheme="minorHAnsi"/>
        </w:rPr>
      </w:pPr>
    </w:p>
    <w:p w14:paraId="2C77D2B1" w14:textId="4EA680B4" w:rsidR="001803A2" w:rsidRPr="00ED5869" w:rsidRDefault="001803A2" w:rsidP="001803A2">
      <w:pPr>
        <w:spacing w:after="0"/>
        <w:ind w:right="80"/>
        <w:rPr>
          <w:rFonts w:cstheme="minorHAnsi"/>
        </w:rPr>
      </w:pPr>
      <w:r w:rsidRPr="00ED5869">
        <w:rPr>
          <w:rFonts w:cstheme="minorHAnsi"/>
        </w:rPr>
        <w:t xml:space="preserve">Although a lower number is always desirable, the Average Error may be large, i.e., greater than 10% of the total margin, for a variety of reasons. For example, as the </w:t>
      </w:r>
      <w:r w:rsidR="008F25B7" w:rsidRPr="00ED5869">
        <w:rPr>
          <w:rFonts w:cstheme="minorHAnsi"/>
        </w:rPr>
        <w:t>period</w:t>
      </w:r>
      <w:r w:rsidRPr="00ED5869">
        <w:rPr>
          <w:rFonts w:cstheme="minorHAnsi"/>
        </w:rPr>
        <w:t xml:space="preserve"> comparisons are relatively long it would be common for management to intervene and alter the intended outcome as compared to the original assumptions used to develop the analysis. Another consideration is the predictive rates used in the margin calculation as compared to the actual rates recorded. Rates can be key indicators of changes amplified in the balance sheet a</w:t>
      </w:r>
      <w:r w:rsidR="008F25B7">
        <w:rPr>
          <w:rFonts w:cstheme="minorHAnsi"/>
        </w:rPr>
        <w:t>s</w:t>
      </w:r>
      <w:r w:rsidRPr="00ED5869">
        <w:rPr>
          <w:rFonts w:cstheme="minorHAnsi"/>
        </w:rPr>
        <w:t xml:space="preserve"> the bank changes its tactics accordingly.</w:t>
      </w:r>
    </w:p>
    <w:p w14:paraId="20368ECD" w14:textId="77777777" w:rsidR="001803A2" w:rsidRDefault="001803A2" w:rsidP="001803A2">
      <w:pPr>
        <w:spacing w:after="0"/>
        <w:ind w:right="80"/>
        <w:rPr>
          <w:rFonts w:cstheme="minorHAnsi"/>
        </w:rPr>
      </w:pPr>
    </w:p>
    <w:p w14:paraId="4077E623" w14:textId="615FFF5C" w:rsidR="001803A2" w:rsidRPr="008F25B7" w:rsidRDefault="001803A2" w:rsidP="001803A2">
      <w:pPr>
        <w:spacing w:after="0"/>
        <w:ind w:right="80"/>
        <w:rPr>
          <w:rFonts w:cstheme="minorHAnsi"/>
          <w:b/>
          <w:bCs/>
        </w:rPr>
      </w:pPr>
      <w:r w:rsidRPr="008F25B7">
        <w:rPr>
          <w:rFonts w:cstheme="minorHAnsi"/>
          <w:b/>
          <w:bCs/>
        </w:rPr>
        <w:t>Rate Shocked Economic Value of Equity (EVE) Calculations</w:t>
      </w:r>
    </w:p>
    <w:p w14:paraId="65AAFAF9" w14:textId="57E03B03" w:rsidR="001803A2" w:rsidRPr="008F25B7" w:rsidRDefault="008F25B7" w:rsidP="001803A2">
      <w:pPr>
        <w:spacing w:after="0"/>
        <w:ind w:right="80"/>
        <w:rPr>
          <w:rFonts w:cstheme="minorHAnsi"/>
          <w:i/>
          <w:iCs/>
        </w:rPr>
      </w:pPr>
      <w:r w:rsidRPr="008F25B7">
        <w:rPr>
          <w:rFonts w:cstheme="minorHAnsi"/>
          <w:i/>
          <w:iCs/>
        </w:rPr>
        <w:t xml:space="preserve">Rate Shocked EVE </w:t>
      </w:r>
      <w:r w:rsidR="001803A2" w:rsidRPr="008F25B7">
        <w:rPr>
          <w:rFonts w:cstheme="minorHAnsi"/>
          <w:i/>
          <w:iCs/>
        </w:rPr>
        <w:t xml:space="preserve">is a calculation of the market value of each category in the balance sheet. The system uses the Discounted Cash Flow (DCF) method in some cases and the Duration method in others. In all cases, the optionality within the category is applied at each rate shock level. Rate Shock of Market Value is always immediate and sustained and </w:t>
      </w:r>
      <w:r w:rsidRPr="008F25B7">
        <w:rPr>
          <w:rFonts w:cstheme="minorHAnsi"/>
          <w:i/>
          <w:iCs/>
        </w:rPr>
        <w:t>rate</w:t>
      </w:r>
      <w:r w:rsidR="001803A2" w:rsidRPr="008F25B7">
        <w:rPr>
          <w:rFonts w:cstheme="minorHAnsi"/>
          <w:i/>
          <w:iCs/>
        </w:rPr>
        <w:t xml:space="preserve"> changes are applied, assuming a parallel shift in the yield curve.</w:t>
      </w:r>
      <w:r>
        <w:rPr>
          <w:rFonts w:cstheme="minorHAnsi"/>
          <w:i/>
          <w:iCs/>
        </w:rPr>
        <w:t xml:space="preserve"> </w:t>
      </w:r>
      <w:r w:rsidR="001803A2" w:rsidRPr="00ED5869">
        <w:rPr>
          <w:rFonts w:cstheme="minorHAnsi"/>
        </w:rPr>
        <w:t xml:space="preserve">Note: </w:t>
      </w:r>
      <w:r w:rsidR="001803A2" w:rsidRPr="00234983">
        <w:rPr>
          <w:rFonts w:cstheme="minorHAnsi"/>
          <w:i/>
          <w:iCs/>
        </w:rPr>
        <w:t>There is sometimes a great deal of confusion surrounding the term ‘market value’. In this analysis, we are calculating the market value of each balance sheet category using a permutation of discounted cash flow.</w:t>
      </w:r>
      <w:r w:rsidR="001803A2" w:rsidRPr="00ED5869">
        <w:rPr>
          <w:rFonts w:cstheme="minorHAnsi"/>
        </w:rPr>
        <w:t xml:space="preserve"> It is not unusual for a banker to believe that the value of deposits should increase as rates increase but this is </w:t>
      </w:r>
      <w:r w:rsidRPr="00ED5869">
        <w:rPr>
          <w:rFonts w:cstheme="minorHAnsi"/>
        </w:rPr>
        <w:t>just</w:t>
      </w:r>
      <w:r w:rsidR="001803A2" w:rsidRPr="00ED5869">
        <w:rPr>
          <w:rFonts w:cstheme="minorHAnsi"/>
        </w:rPr>
        <w:t xml:space="preserve"> a perspective. From the depositor’s perspective, these are less valuable as rates increase. The discounted cash flow method is neutral, i.e., it just discounts the net present value of future cash </w:t>
      </w:r>
      <w:proofErr w:type="gramStart"/>
      <w:r w:rsidR="001803A2" w:rsidRPr="00ED5869">
        <w:rPr>
          <w:rFonts w:cstheme="minorHAnsi"/>
        </w:rPr>
        <w:t>flows</w:t>
      </w:r>
      <w:proofErr w:type="gramEnd"/>
      <w:r w:rsidR="001803A2" w:rsidRPr="00ED5869">
        <w:rPr>
          <w:rFonts w:cstheme="minorHAnsi"/>
        </w:rPr>
        <w:t xml:space="preserve">. </w:t>
      </w:r>
      <w:r w:rsidR="001803A2" w:rsidRPr="008F25B7">
        <w:rPr>
          <w:rFonts w:cstheme="minorHAnsi"/>
          <w:i/>
          <w:iCs/>
        </w:rPr>
        <w:t>In the MVE calculations, the objective is to determine the net equity position of the bank by calculating the market value of the assets, less the market value of the liabilities. From the banker’s perspective, the objective is to have the deposit values fall faster than the asset values, thus increasing the difference, or “EVE”, at the assumed liquidation.</w:t>
      </w:r>
    </w:p>
    <w:p w14:paraId="6B6B22A8" w14:textId="77777777" w:rsidR="001803A2" w:rsidRPr="00ED5869" w:rsidRDefault="001803A2" w:rsidP="001803A2">
      <w:pPr>
        <w:spacing w:after="0"/>
        <w:ind w:right="80"/>
        <w:rPr>
          <w:rFonts w:cstheme="minorHAnsi"/>
        </w:rPr>
      </w:pPr>
    </w:p>
    <w:p w14:paraId="081D7F12" w14:textId="77777777" w:rsidR="001803A2" w:rsidRPr="008F25B7" w:rsidRDefault="001803A2" w:rsidP="001803A2">
      <w:pPr>
        <w:spacing w:after="0"/>
        <w:ind w:right="80"/>
        <w:rPr>
          <w:rFonts w:cstheme="minorHAnsi"/>
          <w:b/>
          <w:bCs/>
        </w:rPr>
      </w:pPr>
      <w:r w:rsidRPr="008F25B7">
        <w:rPr>
          <w:rFonts w:cstheme="minorHAnsi"/>
          <w:b/>
          <w:bCs/>
        </w:rPr>
        <w:t>Calculation of Loan Market Value</w:t>
      </w:r>
    </w:p>
    <w:p w14:paraId="4D0E3D45" w14:textId="5B25E129" w:rsidR="001803A2" w:rsidRPr="00ED5869" w:rsidRDefault="001803A2" w:rsidP="001803A2">
      <w:pPr>
        <w:spacing w:after="0"/>
        <w:ind w:right="80"/>
        <w:rPr>
          <w:rFonts w:cstheme="minorHAnsi"/>
        </w:rPr>
      </w:pPr>
      <w:r w:rsidRPr="00ED5869">
        <w:rPr>
          <w:rFonts w:cstheme="minorHAnsi"/>
        </w:rPr>
        <w:t xml:space="preserve">RiskGPS uses the Discounted Cash Flow (DCF) method to calculate the market value of loans and applies prepayments at each shock level. The discount rate is taken as the average rate on new loans made during the quarter, as an indication of a market rate. However, the user is encouraged to review </w:t>
      </w:r>
      <w:r w:rsidRPr="00ED5869">
        <w:rPr>
          <w:rFonts w:cstheme="minorHAnsi"/>
        </w:rPr>
        <w:lastRenderedPageBreak/>
        <w:t>this rate and determine a proper discount rate.</w:t>
      </w:r>
      <w:r w:rsidR="008F25B7">
        <w:rPr>
          <w:rFonts w:cstheme="minorHAnsi"/>
        </w:rPr>
        <w:t xml:space="preserve"> </w:t>
      </w:r>
      <w:r w:rsidRPr="00ED5869">
        <w:rPr>
          <w:rFonts w:cstheme="minorHAnsi"/>
        </w:rPr>
        <w:t xml:space="preserve">Note: </w:t>
      </w:r>
      <w:r w:rsidRPr="008F25B7">
        <w:rPr>
          <w:rFonts w:cstheme="minorHAnsi"/>
          <w:i/>
          <w:iCs/>
        </w:rPr>
        <w:t>When determining the market rate in the NPV calculation, like a bond, the lower the rate the higher the value of the instrument. Likewise, the higher the market rate used, the lower the value of the portfolio. The market rate is “shocked” at each shock level in the analysis to determine the risk due to rate change.</w:t>
      </w:r>
      <w:r w:rsidR="008F25B7">
        <w:rPr>
          <w:rFonts w:cstheme="minorHAnsi"/>
        </w:rPr>
        <w:t xml:space="preserve"> </w:t>
      </w:r>
      <w:r w:rsidRPr="008F25B7">
        <w:rPr>
          <w:rFonts w:cstheme="minorHAnsi"/>
          <w:i/>
          <w:iCs/>
        </w:rPr>
        <w:t>Although non-accruals are included in the loan balances, these balances are not rate shocked and maintain a constant value.</w:t>
      </w:r>
    </w:p>
    <w:p w14:paraId="36515290" w14:textId="77777777" w:rsidR="001803A2" w:rsidRPr="00ED5869" w:rsidRDefault="001803A2" w:rsidP="001803A2">
      <w:pPr>
        <w:spacing w:after="0"/>
        <w:ind w:right="80"/>
        <w:rPr>
          <w:rFonts w:cstheme="minorHAnsi"/>
        </w:rPr>
      </w:pPr>
    </w:p>
    <w:p w14:paraId="68D937A0" w14:textId="77777777" w:rsidR="001803A2" w:rsidRPr="008F25B7" w:rsidRDefault="001803A2" w:rsidP="001803A2">
      <w:pPr>
        <w:spacing w:after="0"/>
        <w:ind w:right="80"/>
        <w:rPr>
          <w:rFonts w:cstheme="minorHAnsi"/>
          <w:b/>
          <w:bCs/>
        </w:rPr>
      </w:pPr>
      <w:r w:rsidRPr="008F25B7">
        <w:rPr>
          <w:rFonts w:cstheme="minorHAnsi"/>
          <w:b/>
          <w:bCs/>
        </w:rPr>
        <w:t>Calculation of Securities Market Value</w:t>
      </w:r>
    </w:p>
    <w:p w14:paraId="7037E2BE" w14:textId="3F5DB247" w:rsidR="001803A2" w:rsidRPr="00ED5869" w:rsidRDefault="001803A2" w:rsidP="001803A2">
      <w:pPr>
        <w:spacing w:after="0"/>
        <w:ind w:right="80"/>
        <w:rPr>
          <w:rFonts w:cstheme="minorHAnsi"/>
        </w:rPr>
      </w:pPr>
      <w:r w:rsidRPr="008F25B7">
        <w:rPr>
          <w:rFonts w:cstheme="minorHAnsi"/>
          <w:i/>
          <w:iCs/>
        </w:rPr>
        <w:t xml:space="preserve">The calculation of the market value of securities is performed using </w:t>
      </w:r>
      <w:r w:rsidRPr="008F25B7">
        <w:rPr>
          <w:rFonts w:cstheme="minorHAnsi"/>
          <w:b/>
          <w:bCs/>
          <w:i/>
          <w:iCs/>
        </w:rPr>
        <w:t>Duration</w:t>
      </w:r>
      <w:r w:rsidRPr="008F25B7">
        <w:rPr>
          <w:rFonts w:cstheme="minorHAnsi"/>
          <w:i/>
          <w:iCs/>
        </w:rPr>
        <w:t>.</w:t>
      </w:r>
      <w:r w:rsidRPr="00ED5869">
        <w:rPr>
          <w:rFonts w:cstheme="minorHAnsi"/>
        </w:rPr>
        <w:t xml:space="preserve"> </w:t>
      </w:r>
      <w:r w:rsidRPr="008F25B7">
        <w:rPr>
          <w:rFonts w:cstheme="minorHAnsi"/>
          <w:i/>
          <w:iCs/>
        </w:rPr>
        <w:t>The duration of an instrument is the expected percent change in its market value for a 100bp change in rate.</w:t>
      </w:r>
      <w:r w:rsidRPr="00ED5869">
        <w:rPr>
          <w:rFonts w:cstheme="minorHAnsi"/>
        </w:rPr>
        <w:t xml:space="preserve"> </w:t>
      </w:r>
      <w:r w:rsidR="008F25B7" w:rsidRPr="008F25B7">
        <w:rPr>
          <w:rFonts w:cstheme="minorHAnsi"/>
          <w:i/>
          <w:iCs/>
        </w:rPr>
        <w:t>Duration is</w:t>
      </w:r>
      <w:r w:rsidRPr="008F25B7">
        <w:rPr>
          <w:rFonts w:cstheme="minorHAnsi"/>
          <w:i/>
          <w:iCs/>
        </w:rPr>
        <w:t xml:space="preserve"> easily converted into years</w:t>
      </w:r>
      <w:r w:rsidR="008F25B7" w:rsidRPr="008F25B7">
        <w:rPr>
          <w:rFonts w:cstheme="minorHAnsi"/>
          <w:i/>
          <w:iCs/>
        </w:rPr>
        <w:t xml:space="preserve"> and thus,</w:t>
      </w:r>
      <w:r w:rsidRPr="008F25B7">
        <w:rPr>
          <w:rFonts w:cstheme="minorHAnsi"/>
          <w:i/>
          <w:iCs/>
        </w:rPr>
        <w:t xml:space="preserve"> percentages</w:t>
      </w:r>
      <w:r w:rsidR="008F25B7" w:rsidRPr="008F25B7">
        <w:rPr>
          <w:rFonts w:cstheme="minorHAnsi"/>
          <w:i/>
          <w:iCs/>
        </w:rPr>
        <w:t>, b</w:t>
      </w:r>
      <w:r w:rsidRPr="008F25B7">
        <w:rPr>
          <w:rFonts w:cstheme="minorHAnsi"/>
          <w:i/>
          <w:iCs/>
        </w:rPr>
        <w:t>y dividing the monthly durations by twelve.</w:t>
      </w:r>
      <w:r w:rsidRPr="00ED5869">
        <w:rPr>
          <w:rFonts w:cstheme="minorHAnsi"/>
        </w:rPr>
        <w:t xml:space="preserve"> Therefore, </w:t>
      </w:r>
      <w:r w:rsidR="008F25B7">
        <w:rPr>
          <w:rFonts w:cstheme="minorHAnsi"/>
        </w:rPr>
        <w:t xml:space="preserve">a </w:t>
      </w:r>
      <w:r w:rsidRPr="00ED5869">
        <w:rPr>
          <w:rFonts w:cstheme="minorHAnsi"/>
        </w:rPr>
        <w:t xml:space="preserve">24-month duration is equivalent to two years, which translates to a 2% change in market value for each 100bp change in rate. If </w:t>
      </w:r>
      <w:r w:rsidR="00B3325C">
        <w:rPr>
          <w:rFonts w:cstheme="minorHAnsi"/>
        </w:rPr>
        <w:t>your</w:t>
      </w:r>
      <w:r w:rsidRPr="00ED5869">
        <w:rPr>
          <w:rFonts w:cstheme="minorHAnsi"/>
        </w:rPr>
        <w:t xml:space="preserve"> bond report states duration in years, the duration must </w:t>
      </w:r>
      <w:r w:rsidR="00B3325C">
        <w:rPr>
          <w:rFonts w:cstheme="minorHAnsi"/>
        </w:rPr>
        <w:t xml:space="preserve">first </w:t>
      </w:r>
      <w:r w:rsidRPr="00ED5869">
        <w:rPr>
          <w:rFonts w:cstheme="minorHAnsi"/>
        </w:rPr>
        <w:t xml:space="preserve">be converted to months and then divided by twelve </w:t>
      </w:r>
      <w:r w:rsidR="008F25B7" w:rsidRPr="00ED5869">
        <w:rPr>
          <w:rFonts w:cstheme="minorHAnsi"/>
        </w:rPr>
        <w:t>to</w:t>
      </w:r>
      <w:r w:rsidRPr="00ED5869">
        <w:rPr>
          <w:rFonts w:cstheme="minorHAnsi"/>
        </w:rPr>
        <w:t xml:space="preserve"> compare with that used in RiskGPS.</w:t>
      </w:r>
    </w:p>
    <w:p w14:paraId="2B028943" w14:textId="77777777" w:rsidR="001803A2" w:rsidRPr="00ED5869" w:rsidRDefault="001803A2" w:rsidP="001803A2">
      <w:pPr>
        <w:spacing w:after="0"/>
        <w:ind w:right="80"/>
        <w:rPr>
          <w:rFonts w:cstheme="minorHAnsi"/>
        </w:rPr>
      </w:pPr>
    </w:p>
    <w:p w14:paraId="66F4948B" w14:textId="7E081A9F" w:rsidR="001803A2" w:rsidRPr="00ED5869" w:rsidRDefault="00B3325C" w:rsidP="001803A2">
      <w:pPr>
        <w:spacing w:after="0"/>
        <w:ind w:right="80"/>
        <w:rPr>
          <w:rFonts w:cstheme="minorHAnsi"/>
        </w:rPr>
      </w:pPr>
      <w:r w:rsidRPr="00ED5869">
        <w:rPr>
          <w:rFonts w:cstheme="minorHAnsi"/>
        </w:rPr>
        <w:t>The duration at each shock level is determined considering prepayments on the MBS and CMO duration, as well as the callable model on the Agency securities</w:t>
      </w:r>
      <w:r>
        <w:rPr>
          <w:rFonts w:cstheme="minorHAnsi"/>
        </w:rPr>
        <w:t xml:space="preserve">. </w:t>
      </w:r>
      <w:r w:rsidR="001803A2" w:rsidRPr="00ED5869">
        <w:rPr>
          <w:rFonts w:cstheme="minorHAnsi"/>
        </w:rPr>
        <w:t xml:space="preserve">These values are used as defaults. </w:t>
      </w:r>
      <w:r>
        <w:rPr>
          <w:rFonts w:cstheme="minorHAnsi"/>
        </w:rPr>
        <w:t>Users are</w:t>
      </w:r>
      <w:r w:rsidR="001803A2" w:rsidRPr="00ED5869">
        <w:rPr>
          <w:rFonts w:cstheme="minorHAnsi"/>
        </w:rPr>
        <w:t xml:space="preserve"> strongly advised to review the bond portfolio analysis obtained from a respected bond analysis program and use the market values to override the defaults in the Securities Assumptions. Durations will adjust after saving your entries.</w:t>
      </w:r>
      <w:r w:rsidR="008F25B7">
        <w:rPr>
          <w:rFonts w:cstheme="minorHAnsi"/>
        </w:rPr>
        <w:t xml:space="preserve"> </w:t>
      </w:r>
      <w:r w:rsidR="001803A2" w:rsidRPr="00ED5869">
        <w:rPr>
          <w:rFonts w:cstheme="minorHAnsi"/>
        </w:rPr>
        <w:t xml:space="preserve">Note: the objective is to have the same market values on the program report as are displayed in the bond analytics output from an outside bond analysis program. </w:t>
      </w:r>
    </w:p>
    <w:p w14:paraId="4E69C5E1" w14:textId="77777777" w:rsidR="001803A2" w:rsidRPr="00ED5869" w:rsidRDefault="001803A2" w:rsidP="001803A2">
      <w:pPr>
        <w:spacing w:after="0"/>
        <w:ind w:right="80"/>
        <w:rPr>
          <w:rFonts w:cstheme="minorHAnsi"/>
        </w:rPr>
      </w:pPr>
    </w:p>
    <w:p w14:paraId="4AD93A2E" w14:textId="77777777" w:rsidR="001803A2" w:rsidRPr="008F25B7" w:rsidRDefault="001803A2" w:rsidP="001803A2">
      <w:pPr>
        <w:spacing w:after="0"/>
        <w:ind w:right="80"/>
        <w:rPr>
          <w:rFonts w:cstheme="minorHAnsi"/>
          <w:b/>
          <w:bCs/>
        </w:rPr>
      </w:pPr>
      <w:r w:rsidRPr="008F25B7">
        <w:rPr>
          <w:rFonts w:cstheme="minorHAnsi"/>
          <w:b/>
          <w:bCs/>
          <w:position w:val="-1"/>
        </w:rPr>
        <w:t>Calculation of Non-Maturing Deposit Market Value</w:t>
      </w:r>
    </w:p>
    <w:p w14:paraId="0A99D0B4" w14:textId="44864E45" w:rsidR="001803A2" w:rsidRPr="00ED5869" w:rsidRDefault="001803A2" w:rsidP="001803A2">
      <w:pPr>
        <w:spacing w:after="0"/>
        <w:ind w:right="80"/>
        <w:rPr>
          <w:rFonts w:cstheme="minorHAnsi"/>
        </w:rPr>
      </w:pPr>
      <w:r w:rsidRPr="00234983">
        <w:rPr>
          <w:rFonts w:cstheme="minorHAnsi"/>
          <w:b/>
          <w:bCs/>
          <w:i/>
          <w:iCs/>
        </w:rPr>
        <w:t>Decay rates</w:t>
      </w:r>
      <w:r w:rsidRPr="008F25B7">
        <w:rPr>
          <w:rFonts w:cstheme="minorHAnsi"/>
          <w:i/>
          <w:iCs/>
        </w:rPr>
        <w:t xml:space="preserve"> are a method for creating artificial maturities for non-maturing deposit accounts so Discounted Cash Flow calculations can be applied.</w:t>
      </w:r>
      <w:r w:rsidRPr="00ED5869">
        <w:rPr>
          <w:rFonts w:cstheme="minorHAnsi"/>
        </w:rPr>
        <w:t xml:space="preserve"> It should be noted that </w:t>
      </w:r>
      <w:r w:rsidRPr="008F25B7">
        <w:rPr>
          <w:rFonts w:cstheme="minorHAnsi"/>
          <w:i/>
          <w:iCs/>
        </w:rPr>
        <w:t>the duration of a non-maturing account is about half of the decay rate. The longer the decay rate, the longer the duration, and therefore, the more sensitive the market value of these deposits will be</w:t>
      </w:r>
      <w:r w:rsidRPr="00ED5869">
        <w:rPr>
          <w:rFonts w:cstheme="minorHAnsi"/>
        </w:rPr>
        <w:t>.</w:t>
      </w:r>
    </w:p>
    <w:p w14:paraId="49E842A3" w14:textId="77777777" w:rsidR="001803A2" w:rsidRPr="00ED5869" w:rsidRDefault="001803A2" w:rsidP="001803A2">
      <w:pPr>
        <w:spacing w:after="0"/>
        <w:ind w:right="80"/>
        <w:rPr>
          <w:rFonts w:cstheme="minorHAnsi"/>
        </w:rPr>
      </w:pPr>
    </w:p>
    <w:p w14:paraId="4831FBB3" w14:textId="23088FEA" w:rsidR="001803A2" w:rsidRDefault="001803A2" w:rsidP="001803A2">
      <w:pPr>
        <w:spacing w:after="0"/>
        <w:ind w:right="80"/>
        <w:rPr>
          <w:rFonts w:cstheme="minorHAnsi"/>
        </w:rPr>
      </w:pPr>
      <w:r w:rsidRPr="008F25B7">
        <w:rPr>
          <w:rFonts w:cstheme="minorHAnsi"/>
          <w:i/>
          <w:iCs/>
        </w:rPr>
        <w:t xml:space="preserve">The program estimates decay rates using </w:t>
      </w:r>
      <w:r w:rsidRPr="00234983">
        <w:rPr>
          <w:rFonts w:cstheme="minorHAnsi"/>
          <w:b/>
          <w:bCs/>
          <w:i/>
          <w:iCs/>
        </w:rPr>
        <w:t>Beta Factors</w:t>
      </w:r>
      <w:r w:rsidRPr="008F25B7">
        <w:rPr>
          <w:rFonts w:cstheme="minorHAnsi"/>
          <w:i/>
          <w:iCs/>
        </w:rPr>
        <w:t xml:space="preserve">. The idea is that the lower the Beta, the less </w:t>
      </w:r>
      <w:proofErr w:type="gramStart"/>
      <w:r w:rsidRPr="008F25B7">
        <w:rPr>
          <w:rFonts w:cstheme="minorHAnsi"/>
          <w:i/>
          <w:iCs/>
        </w:rPr>
        <w:t>rate sensitive the category</w:t>
      </w:r>
      <w:proofErr w:type="gramEnd"/>
      <w:r w:rsidRPr="008F25B7">
        <w:rPr>
          <w:rFonts w:cstheme="minorHAnsi"/>
          <w:i/>
          <w:iCs/>
        </w:rPr>
        <w:t>, and</w:t>
      </w:r>
      <w:r w:rsidR="008F25B7" w:rsidRPr="008F25B7">
        <w:rPr>
          <w:rFonts w:cstheme="minorHAnsi"/>
          <w:i/>
          <w:iCs/>
        </w:rPr>
        <w:t>,</w:t>
      </w:r>
      <w:r w:rsidRPr="008F25B7">
        <w:rPr>
          <w:rFonts w:cstheme="minorHAnsi"/>
          <w:i/>
          <w:iCs/>
        </w:rPr>
        <w:t xml:space="preserve"> therefore, the longer the decay rate. The estimated decay rates are calculated in the Deposit Assumption section. The formula for these assumptions is 12/Beta (%). </w:t>
      </w:r>
      <w:r w:rsidRPr="00ED5869">
        <w:rPr>
          <w:rFonts w:cstheme="minorHAnsi"/>
        </w:rPr>
        <w:t xml:space="preserve">For example, a 25% Beta translates to a 48-month decay rate, or 24-month duration. </w:t>
      </w:r>
      <w:r w:rsidR="00C93D5E">
        <w:rPr>
          <w:rFonts w:cstheme="minorHAnsi"/>
        </w:rPr>
        <w:t>You are</w:t>
      </w:r>
      <w:r w:rsidRPr="00ED5869">
        <w:rPr>
          <w:rFonts w:cstheme="minorHAnsi"/>
        </w:rPr>
        <w:t xml:space="preserve"> strongly advised to review these decay rates and the resulting market values of these non-maturing categories, and to </w:t>
      </w:r>
      <w:r w:rsidR="008F25B7" w:rsidRPr="00ED5869">
        <w:rPr>
          <w:rFonts w:cstheme="minorHAnsi"/>
        </w:rPr>
        <w:t>adjust</w:t>
      </w:r>
      <w:r w:rsidRPr="00ED5869">
        <w:rPr>
          <w:rFonts w:cstheme="minorHAnsi"/>
        </w:rPr>
        <w:t xml:space="preserve"> where appropriate.</w:t>
      </w:r>
    </w:p>
    <w:p w14:paraId="413C4C27" w14:textId="77777777" w:rsidR="00C93D5E" w:rsidRPr="00ED5869" w:rsidRDefault="00C93D5E" w:rsidP="001803A2">
      <w:pPr>
        <w:spacing w:after="0"/>
        <w:ind w:right="80"/>
        <w:rPr>
          <w:rFonts w:cstheme="minorHAnsi"/>
        </w:rPr>
      </w:pPr>
    </w:p>
    <w:p w14:paraId="36424A1B" w14:textId="77777777" w:rsidR="001803A2" w:rsidRPr="008F25B7" w:rsidRDefault="001803A2" w:rsidP="001803A2">
      <w:pPr>
        <w:spacing w:after="0"/>
        <w:ind w:right="80"/>
        <w:rPr>
          <w:rFonts w:cstheme="minorHAnsi"/>
          <w:b/>
          <w:bCs/>
        </w:rPr>
      </w:pPr>
      <w:r w:rsidRPr="008F25B7">
        <w:rPr>
          <w:rFonts w:cstheme="minorHAnsi"/>
          <w:b/>
          <w:bCs/>
        </w:rPr>
        <w:t>Calculation of All Other Liabilities Market Value</w:t>
      </w:r>
    </w:p>
    <w:p w14:paraId="4C600049" w14:textId="0846F18B" w:rsidR="001803A2" w:rsidRPr="00ED5869" w:rsidRDefault="001803A2" w:rsidP="001803A2">
      <w:pPr>
        <w:spacing w:after="0"/>
        <w:ind w:right="80"/>
        <w:rPr>
          <w:rFonts w:cstheme="minorHAnsi"/>
        </w:rPr>
      </w:pPr>
      <w:r w:rsidRPr="00ED5869">
        <w:rPr>
          <w:rFonts w:cstheme="minorHAnsi"/>
        </w:rPr>
        <w:t>CDs and Borrowings are calculated using discounted cash flow, using their current yield as the discount rate and shocking at each level. The CD market rate is computed to be 71% of the shock rate, which is reflected in the Beta factors for a renewing CD.</w:t>
      </w:r>
      <w:r w:rsidR="008F25B7">
        <w:rPr>
          <w:rFonts w:cstheme="minorHAnsi"/>
        </w:rPr>
        <w:t xml:space="preserve"> </w:t>
      </w:r>
      <w:r w:rsidRPr="00ED5869">
        <w:rPr>
          <w:rFonts w:cstheme="minorHAnsi"/>
        </w:rPr>
        <w:t>Note: The market value of Fed Funds Sold and Purchased are taken at book in all cases.</w:t>
      </w:r>
    </w:p>
    <w:p w14:paraId="19F7DDFE" w14:textId="77777777" w:rsidR="001803A2" w:rsidRPr="00ED5869" w:rsidRDefault="001803A2" w:rsidP="001803A2">
      <w:pPr>
        <w:spacing w:after="0"/>
        <w:ind w:right="80"/>
        <w:rPr>
          <w:rFonts w:cstheme="minorHAnsi"/>
        </w:rPr>
      </w:pPr>
    </w:p>
    <w:p w14:paraId="6696AC95" w14:textId="77777777" w:rsidR="00B266BF" w:rsidRDefault="00B266BF" w:rsidP="001803A2">
      <w:pPr>
        <w:spacing w:after="0"/>
        <w:ind w:right="80"/>
        <w:rPr>
          <w:rFonts w:cstheme="minorHAnsi"/>
          <w:b/>
          <w:bCs/>
          <w:position w:val="1"/>
        </w:rPr>
      </w:pPr>
    </w:p>
    <w:p w14:paraId="4E0A1417" w14:textId="77777777" w:rsidR="00B266BF" w:rsidRDefault="00B266BF" w:rsidP="001803A2">
      <w:pPr>
        <w:spacing w:after="0"/>
        <w:ind w:right="80"/>
        <w:rPr>
          <w:rFonts w:cstheme="minorHAnsi"/>
          <w:b/>
          <w:bCs/>
          <w:position w:val="1"/>
        </w:rPr>
      </w:pPr>
    </w:p>
    <w:p w14:paraId="550C1B36" w14:textId="3D67B150" w:rsidR="001803A2" w:rsidRPr="008F25B7" w:rsidRDefault="001803A2" w:rsidP="001803A2">
      <w:pPr>
        <w:spacing w:after="0"/>
        <w:ind w:right="80"/>
        <w:rPr>
          <w:rFonts w:cstheme="minorHAnsi"/>
          <w:b/>
          <w:bCs/>
        </w:rPr>
      </w:pPr>
      <w:r w:rsidRPr="008F25B7">
        <w:rPr>
          <w:rFonts w:cstheme="minorHAnsi"/>
          <w:b/>
          <w:bCs/>
          <w:position w:val="1"/>
        </w:rPr>
        <w:t>Risk Calculation</w:t>
      </w:r>
    </w:p>
    <w:p w14:paraId="4C7CBA76" w14:textId="550C4F24" w:rsidR="001803A2" w:rsidRPr="00ED5869" w:rsidRDefault="001803A2" w:rsidP="001803A2">
      <w:pPr>
        <w:spacing w:after="0"/>
        <w:ind w:right="80"/>
        <w:rPr>
          <w:rFonts w:cstheme="minorHAnsi"/>
        </w:rPr>
      </w:pPr>
      <w:r w:rsidRPr="00ED5869">
        <w:rPr>
          <w:rFonts w:cstheme="minorHAnsi"/>
        </w:rPr>
        <w:t xml:space="preserve">In the report, the </w:t>
      </w:r>
      <w:r w:rsidR="008F25B7" w:rsidRPr="00ED5869">
        <w:rPr>
          <w:rFonts w:cstheme="minorHAnsi"/>
        </w:rPr>
        <w:t>percentage</w:t>
      </w:r>
      <w:r w:rsidRPr="00ED5869">
        <w:rPr>
          <w:rFonts w:cstheme="minorHAnsi"/>
        </w:rPr>
        <w:t xml:space="preserve"> change in the bank’s EVE, or mark-to-market market value, is shown at each interest rate shock level. While we are unaware of any written regulatory policy on the level of change in value of this number, our experience in working with examiners and banks completing exams is that the change to equity should not exceed -10 for each 100bp of shock. This may vary with the examining agency or even the examiner, and as each bank is unique, must be evaluated individually while still adhering </w:t>
      </w:r>
      <w:r w:rsidR="008F25B7" w:rsidRPr="00ED5869">
        <w:rPr>
          <w:rFonts w:cstheme="minorHAnsi"/>
        </w:rPr>
        <w:t>to</w:t>
      </w:r>
      <w:r w:rsidRPr="00ED5869">
        <w:rPr>
          <w:rFonts w:cstheme="minorHAnsi"/>
        </w:rPr>
        <w:t xml:space="preserve"> specific policy limits adopted by your Board of Directors.</w:t>
      </w:r>
    </w:p>
    <w:p w14:paraId="680A2485" w14:textId="77777777" w:rsidR="001803A2" w:rsidRPr="00ED5869" w:rsidRDefault="001803A2" w:rsidP="001803A2">
      <w:pPr>
        <w:spacing w:after="0"/>
        <w:ind w:right="80"/>
        <w:rPr>
          <w:rFonts w:cstheme="minorHAnsi"/>
        </w:rPr>
      </w:pPr>
    </w:p>
    <w:p w14:paraId="6827F27B" w14:textId="54450626" w:rsidR="001803A2" w:rsidRPr="008F25B7" w:rsidRDefault="001803A2" w:rsidP="001803A2">
      <w:pPr>
        <w:spacing w:after="0"/>
        <w:ind w:right="80"/>
        <w:rPr>
          <w:rFonts w:cstheme="minorHAnsi"/>
          <w:b/>
          <w:bCs/>
        </w:rPr>
      </w:pPr>
      <w:r w:rsidRPr="008F25B7">
        <w:rPr>
          <w:rFonts w:cstheme="minorHAnsi"/>
          <w:b/>
          <w:bCs/>
        </w:rPr>
        <w:t>Strategy Bubbles - Risk Management Strategy Calculations</w:t>
      </w:r>
    </w:p>
    <w:p w14:paraId="2EC124CF" w14:textId="7B09B5F9" w:rsidR="001803A2" w:rsidRPr="00ED5869" w:rsidRDefault="001803A2" w:rsidP="001803A2">
      <w:pPr>
        <w:spacing w:after="0"/>
        <w:ind w:right="80"/>
        <w:rPr>
          <w:rFonts w:cstheme="minorHAnsi"/>
        </w:rPr>
      </w:pPr>
      <w:r w:rsidRPr="00ED5869">
        <w:rPr>
          <w:rFonts w:cstheme="minorHAnsi"/>
        </w:rPr>
        <w:t xml:space="preserve">The </w:t>
      </w:r>
      <w:r w:rsidRPr="00ED5869">
        <w:rPr>
          <w:rFonts w:cstheme="minorHAnsi"/>
          <w:u w:val="single" w:color="000000"/>
        </w:rPr>
        <w:t>Rate Risk Management Strategy</w:t>
      </w:r>
      <w:r w:rsidRPr="00ED5869">
        <w:rPr>
          <w:rFonts w:cstheme="minorHAnsi"/>
        </w:rPr>
        <w:t xml:space="preserve"> analysis is not a required risk analysis but is unique to Plansmith products and helps clarify the relationship between the components of risk.</w:t>
      </w:r>
      <w:r w:rsidR="00234983">
        <w:rPr>
          <w:rFonts w:cstheme="minorHAnsi"/>
        </w:rPr>
        <w:t xml:space="preserve"> </w:t>
      </w:r>
      <w:r w:rsidRPr="00ED5869">
        <w:rPr>
          <w:rFonts w:cstheme="minorHAnsi"/>
        </w:rPr>
        <w:t xml:space="preserve">There are two parts to the report: the top chart plots the earning assets and paying </w:t>
      </w:r>
      <w:proofErr w:type="gramStart"/>
      <w:r w:rsidR="008F25B7" w:rsidRPr="00ED5869">
        <w:rPr>
          <w:rFonts w:cstheme="minorHAnsi"/>
        </w:rPr>
        <w:t>liabilities</w:t>
      </w:r>
      <w:r w:rsidR="008F25B7">
        <w:rPr>
          <w:rFonts w:cstheme="minorHAnsi"/>
        </w:rPr>
        <w:t xml:space="preserve"> as a whole</w:t>
      </w:r>
      <w:r w:rsidR="008F25B7" w:rsidRPr="00ED5869">
        <w:rPr>
          <w:rFonts w:cstheme="minorHAnsi"/>
        </w:rPr>
        <w:t>, and</w:t>
      </w:r>
      <w:proofErr w:type="gramEnd"/>
      <w:r w:rsidRPr="00ED5869">
        <w:rPr>
          <w:rFonts w:cstheme="minorHAnsi"/>
        </w:rPr>
        <w:t xml:space="preserve"> the bottom chart breaks out the product types within each. In both, the constant maturity (CMT) yield curve is provided as a reference point. In between is a table showing the key elements in numeric format, Yield and Duration. The Duration difference is sometimes called the Duration GAP, i.e., the difference between the duration of assets and liabilities.</w:t>
      </w:r>
    </w:p>
    <w:p w14:paraId="42ADD777" w14:textId="77777777" w:rsidR="001803A2" w:rsidRPr="00ED5869" w:rsidRDefault="001803A2" w:rsidP="001803A2">
      <w:pPr>
        <w:spacing w:after="0"/>
        <w:ind w:right="80"/>
        <w:rPr>
          <w:rFonts w:cstheme="minorHAnsi"/>
        </w:rPr>
      </w:pPr>
    </w:p>
    <w:p w14:paraId="222FC7E6" w14:textId="433461A9" w:rsidR="001803A2" w:rsidRPr="00ED5869" w:rsidRDefault="001803A2" w:rsidP="001803A2">
      <w:pPr>
        <w:spacing w:after="0"/>
        <w:ind w:right="80"/>
        <w:rPr>
          <w:rFonts w:cstheme="minorHAnsi"/>
        </w:rPr>
      </w:pPr>
      <w:r w:rsidRPr="00234983">
        <w:rPr>
          <w:rFonts w:cstheme="minorHAnsi"/>
          <w:i/>
          <w:iCs/>
        </w:rPr>
        <w:t xml:space="preserve">Bubbles allow you to quickly inspect and compare the difference between the asset yield and the yield curve for the same duration Treasury bond, as well as the average cost rate on liabilities to the same curve. These differences are called benefits because the bank is getting a yield higher than the same term Treasury security or paying a cost rate below the same term Treasury security. The vertical distance in the yield curve, at </w:t>
      </w:r>
      <w:r w:rsidR="00234983" w:rsidRPr="00234983">
        <w:rPr>
          <w:rFonts w:cstheme="minorHAnsi"/>
          <w:i/>
          <w:iCs/>
        </w:rPr>
        <w:t>asset</w:t>
      </w:r>
      <w:r w:rsidRPr="00234983">
        <w:rPr>
          <w:rFonts w:cstheme="minorHAnsi"/>
          <w:i/>
          <w:iCs/>
        </w:rPr>
        <w:t xml:space="preserve"> and liability durations, is called the mismatch risk and is the amount of NIM gain due to taking duration risk (i.e., separating the bubbles).</w:t>
      </w:r>
    </w:p>
    <w:p w14:paraId="1E1489F7" w14:textId="77777777" w:rsidR="001803A2" w:rsidRPr="00ED5869" w:rsidRDefault="001803A2" w:rsidP="001803A2">
      <w:pPr>
        <w:spacing w:after="0"/>
        <w:ind w:right="80"/>
        <w:rPr>
          <w:rFonts w:cstheme="minorHAnsi"/>
        </w:rPr>
      </w:pPr>
    </w:p>
    <w:p w14:paraId="14FD802E" w14:textId="754BBBF3" w:rsidR="001803A2" w:rsidRPr="008F25B7" w:rsidRDefault="001803A2" w:rsidP="001803A2">
      <w:pPr>
        <w:spacing w:after="0"/>
        <w:ind w:right="80"/>
        <w:rPr>
          <w:rFonts w:cstheme="minorHAnsi"/>
          <w:i/>
          <w:iCs/>
        </w:rPr>
      </w:pPr>
      <w:r w:rsidRPr="008F25B7">
        <w:rPr>
          <w:rFonts w:cstheme="minorHAnsi"/>
          <w:i/>
          <w:iCs/>
        </w:rPr>
        <w:t xml:space="preserve">If these bubbles </w:t>
      </w:r>
      <w:r w:rsidR="008F25B7" w:rsidRPr="008F25B7">
        <w:rPr>
          <w:rFonts w:cstheme="minorHAnsi"/>
          <w:i/>
          <w:iCs/>
        </w:rPr>
        <w:t>overlap</w:t>
      </w:r>
      <w:r w:rsidRPr="008F25B7">
        <w:rPr>
          <w:rFonts w:cstheme="minorHAnsi"/>
          <w:i/>
          <w:iCs/>
        </w:rPr>
        <w:t xml:space="preserve">, the bank would have no risk. Its assets and liabilities would alter their yields, as well as their respective market values, roughly in tandem as rates change. However, as the two bubbles move apart, risk is </w:t>
      </w:r>
      <w:r w:rsidR="008F25B7" w:rsidRPr="008F25B7">
        <w:rPr>
          <w:rFonts w:cstheme="minorHAnsi"/>
          <w:i/>
          <w:iCs/>
        </w:rPr>
        <w:t>created:</w:t>
      </w:r>
      <w:r w:rsidRPr="008F25B7">
        <w:rPr>
          <w:rFonts w:cstheme="minorHAnsi"/>
          <w:i/>
          <w:iCs/>
        </w:rPr>
        <w:t xml:space="preserve"> the farther apart, the greater the risk (and, in normal times, the greater the reward). For example, as the asset bubble moves to the right, it usually moves </w:t>
      </w:r>
      <w:proofErr w:type="gramStart"/>
      <w:r w:rsidRPr="008F25B7">
        <w:rPr>
          <w:rFonts w:cstheme="minorHAnsi"/>
          <w:i/>
          <w:iCs/>
        </w:rPr>
        <w:t>asset</w:t>
      </w:r>
      <w:proofErr w:type="gramEnd"/>
      <w:r w:rsidRPr="008F25B7">
        <w:rPr>
          <w:rFonts w:cstheme="minorHAnsi"/>
          <w:i/>
          <w:iCs/>
        </w:rPr>
        <w:t xml:space="preserve"> yield up, parallel with the yield curve. The steeper the yield curve slope becomes, the greater the increase in NIM. </w:t>
      </w:r>
      <w:proofErr w:type="gramStart"/>
      <w:r w:rsidRPr="008F25B7">
        <w:rPr>
          <w:rFonts w:cstheme="minorHAnsi"/>
          <w:i/>
          <w:iCs/>
        </w:rPr>
        <w:t>It is</w:t>
      </w:r>
      <w:proofErr w:type="gramEnd"/>
      <w:r w:rsidRPr="008F25B7">
        <w:rPr>
          <w:rFonts w:cstheme="minorHAnsi"/>
          <w:i/>
          <w:iCs/>
        </w:rPr>
        <w:t xml:space="preserve"> also increasing the Duration Gap with greater risk to asset market values</w:t>
      </w:r>
      <w:r w:rsidR="008F25B7" w:rsidRPr="008F25B7">
        <w:rPr>
          <w:rFonts w:cstheme="minorHAnsi"/>
          <w:i/>
          <w:iCs/>
        </w:rPr>
        <w:t xml:space="preserve">, </w:t>
      </w:r>
      <w:r w:rsidRPr="008F25B7">
        <w:rPr>
          <w:rFonts w:cstheme="minorHAnsi"/>
          <w:i/>
          <w:iCs/>
        </w:rPr>
        <w:t>and so, EVE</w:t>
      </w:r>
      <w:r w:rsidR="008F25B7" w:rsidRPr="008F25B7">
        <w:rPr>
          <w:rFonts w:cstheme="minorHAnsi"/>
          <w:i/>
          <w:iCs/>
        </w:rPr>
        <w:t xml:space="preserve">, </w:t>
      </w:r>
      <w:r w:rsidRPr="008F25B7">
        <w:rPr>
          <w:rFonts w:cstheme="minorHAnsi"/>
          <w:i/>
          <w:iCs/>
        </w:rPr>
        <w:t>when rates change.</w:t>
      </w:r>
    </w:p>
    <w:p w14:paraId="5C2B2812" w14:textId="77777777" w:rsidR="001803A2" w:rsidRPr="00ED5869" w:rsidRDefault="001803A2" w:rsidP="001803A2">
      <w:pPr>
        <w:spacing w:after="0"/>
        <w:ind w:right="80"/>
        <w:rPr>
          <w:rFonts w:cstheme="minorHAnsi"/>
        </w:rPr>
      </w:pPr>
    </w:p>
    <w:p w14:paraId="7EAD1FB0" w14:textId="77777777" w:rsidR="001803A2" w:rsidRPr="00ED5869" w:rsidRDefault="001803A2" w:rsidP="001803A2">
      <w:pPr>
        <w:spacing w:after="0"/>
        <w:ind w:right="80"/>
        <w:rPr>
          <w:rFonts w:cstheme="minorHAnsi"/>
        </w:rPr>
      </w:pPr>
      <w:r w:rsidRPr="00ED5869">
        <w:rPr>
          <w:rFonts w:cstheme="minorHAnsi"/>
        </w:rPr>
        <w:t>The user can think of rate risk management as moving these two bubbles left or right, or closer or farther apart. To help determine which components of the balance sheet could be adjusted, the bottom chart allows bubbles for the individual components. Moving these bubbles will impact the larger bubbles and show the resulting risk.</w:t>
      </w:r>
    </w:p>
    <w:p w14:paraId="38AC9F9A" w14:textId="7A8B9CCC" w:rsidR="001803A2" w:rsidRPr="008F25B7" w:rsidRDefault="00234983" w:rsidP="001803A2">
      <w:pPr>
        <w:spacing w:after="0"/>
        <w:ind w:right="80"/>
        <w:rPr>
          <w:rFonts w:cstheme="minorHAnsi"/>
          <w:b/>
          <w:bCs/>
        </w:rPr>
      </w:pPr>
      <w:r>
        <w:rPr>
          <w:rFonts w:cstheme="minorHAnsi"/>
          <w:b/>
          <w:bCs/>
        </w:rPr>
        <w:t>PERFORMANCE FORECAST</w:t>
      </w:r>
    </w:p>
    <w:p w14:paraId="517397FB" w14:textId="77777777" w:rsidR="001803A2" w:rsidRPr="00ED5869" w:rsidRDefault="001803A2" w:rsidP="001803A2">
      <w:pPr>
        <w:spacing w:after="0"/>
        <w:ind w:right="80"/>
        <w:rPr>
          <w:rFonts w:cstheme="minorHAnsi"/>
        </w:rPr>
      </w:pPr>
      <w:r w:rsidRPr="00ED5869">
        <w:rPr>
          <w:rFonts w:cstheme="minorHAnsi"/>
        </w:rPr>
        <w:t xml:space="preserve">With all this rate risk analysis accomplished, bankers will want to know what their performance will </w:t>
      </w:r>
      <w:proofErr w:type="gramStart"/>
      <w:r w:rsidRPr="00ED5869">
        <w:rPr>
          <w:rFonts w:cstheme="minorHAnsi"/>
        </w:rPr>
        <w:t>be</w:t>
      </w:r>
      <w:proofErr w:type="gramEnd"/>
      <w:r w:rsidRPr="00ED5869">
        <w:rPr>
          <w:rFonts w:cstheme="minorHAnsi"/>
        </w:rPr>
        <w:t xml:space="preserve"> over the next four quarters. The RiskGPS report will provide the bottom-line by combining the </w:t>
      </w:r>
      <w:r w:rsidRPr="008F25B7">
        <w:rPr>
          <w:rFonts w:cstheme="minorHAnsi"/>
          <w:b/>
          <w:bCs/>
        </w:rPr>
        <w:t>Blue Chip Rates</w:t>
      </w:r>
      <w:r w:rsidRPr="00ED5869">
        <w:rPr>
          <w:rFonts w:cstheme="minorHAnsi"/>
        </w:rPr>
        <w:t xml:space="preserve"> (</w:t>
      </w:r>
      <w:r w:rsidRPr="008F25B7">
        <w:rPr>
          <w:rFonts w:cstheme="minorHAnsi"/>
          <w:i/>
          <w:iCs/>
        </w:rPr>
        <w:t>a professional rate consensus forecast from 50 top economists</w:t>
      </w:r>
      <w:r w:rsidRPr="00ED5869">
        <w:rPr>
          <w:rFonts w:cstheme="minorHAnsi"/>
        </w:rPr>
        <w:t xml:space="preserve">), along with our simulations, </w:t>
      </w:r>
      <w:r w:rsidRPr="00ED5869">
        <w:rPr>
          <w:rFonts w:cstheme="minorHAnsi"/>
        </w:rPr>
        <w:lastRenderedPageBreak/>
        <w:t>to determine the new interest margin over the coming four quarters – as well as the ROA and key ratios associated with that performance.</w:t>
      </w:r>
    </w:p>
    <w:p w14:paraId="5A9A6B7F" w14:textId="77777777" w:rsidR="001803A2" w:rsidRPr="00ED5869" w:rsidRDefault="001803A2" w:rsidP="001803A2">
      <w:pPr>
        <w:spacing w:after="0"/>
        <w:ind w:right="80"/>
        <w:rPr>
          <w:rFonts w:cstheme="minorHAnsi"/>
        </w:rPr>
      </w:pPr>
    </w:p>
    <w:p w14:paraId="711AD5E1" w14:textId="68617FAD" w:rsidR="001803A2" w:rsidRPr="00ED5869" w:rsidRDefault="001803A2" w:rsidP="001803A2">
      <w:pPr>
        <w:spacing w:after="0"/>
        <w:ind w:right="80"/>
        <w:rPr>
          <w:rFonts w:cstheme="minorHAnsi"/>
        </w:rPr>
      </w:pPr>
      <w:r w:rsidRPr="00ED5869">
        <w:rPr>
          <w:rFonts w:cstheme="minorHAnsi"/>
        </w:rPr>
        <w:t xml:space="preserve">The forecast of key parts of the yield curve is shown at the top of the </w:t>
      </w:r>
      <w:r w:rsidRPr="00234983">
        <w:rPr>
          <w:rFonts w:cstheme="minorHAnsi"/>
          <w:b/>
          <w:bCs/>
        </w:rPr>
        <w:t>Forecast Performance</w:t>
      </w:r>
      <w:r w:rsidRPr="00ED5869">
        <w:rPr>
          <w:rFonts w:cstheme="minorHAnsi"/>
        </w:rPr>
        <w:t xml:space="preserve"> page. Since each bank is slightly different in structure, we have tried to apply weighting to various parts of the balance sheet to account for the impact of a changing yield curve, though recognizing that the yield curve does not move in parallel within each </w:t>
      </w:r>
      <w:r w:rsidR="008F25B7" w:rsidRPr="00ED5869">
        <w:rPr>
          <w:rFonts w:cstheme="minorHAnsi"/>
        </w:rPr>
        <w:t>period</w:t>
      </w:r>
      <w:r w:rsidRPr="00ED5869">
        <w:rPr>
          <w:rFonts w:cstheme="minorHAnsi"/>
        </w:rPr>
        <w:t>. This is a refinement to forecast that may not be required but is presented. The goal is to demonstrate</w:t>
      </w:r>
      <w:r w:rsidR="00234983">
        <w:rPr>
          <w:rFonts w:cstheme="minorHAnsi"/>
        </w:rPr>
        <w:t xml:space="preserve">, </w:t>
      </w:r>
      <w:r w:rsidRPr="00ED5869">
        <w:rPr>
          <w:rFonts w:cstheme="minorHAnsi"/>
        </w:rPr>
        <w:t xml:space="preserve">using </w:t>
      </w:r>
      <w:r w:rsidR="00234983">
        <w:rPr>
          <w:rFonts w:cstheme="minorHAnsi"/>
        </w:rPr>
        <w:t>your</w:t>
      </w:r>
      <w:r w:rsidRPr="00ED5869">
        <w:rPr>
          <w:rFonts w:cstheme="minorHAnsi"/>
        </w:rPr>
        <w:t xml:space="preserve"> individual bank’s unique structure</w:t>
      </w:r>
      <w:r w:rsidR="00234983">
        <w:rPr>
          <w:rFonts w:cstheme="minorHAnsi"/>
        </w:rPr>
        <w:t>,</w:t>
      </w:r>
      <w:r w:rsidRPr="00ED5869">
        <w:rPr>
          <w:rFonts w:cstheme="minorHAnsi"/>
        </w:rPr>
        <w:t xml:space="preserve"> how changing rates could affect its capacity and performance.</w:t>
      </w:r>
    </w:p>
    <w:p w14:paraId="2D8C0469" w14:textId="77777777" w:rsidR="001803A2" w:rsidRPr="00ED5869" w:rsidRDefault="001803A2" w:rsidP="001803A2">
      <w:pPr>
        <w:spacing w:after="0"/>
        <w:ind w:right="80"/>
        <w:rPr>
          <w:rFonts w:cstheme="minorHAnsi"/>
        </w:rPr>
      </w:pPr>
    </w:p>
    <w:p w14:paraId="6F920ABB" w14:textId="164AD9A1" w:rsidR="001803A2" w:rsidRPr="00234983" w:rsidRDefault="001803A2" w:rsidP="001803A2">
      <w:pPr>
        <w:spacing w:after="0"/>
        <w:ind w:right="80"/>
        <w:rPr>
          <w:rFonts w:cstheme="minorHAnsi"/>
          <w:i/>
          <w:iCs/>
        </w:rPr>
      </w:pPr>
      <w:r w:rsidRPr="00234983">
        <w:rPr>
          <w:rFonts w:cstheme="minorHAnsi"/>
          <w:i/>
          <w:iCs/>
        </w:rPr>
        <w:t xml:space="preserve">By applying the weighted average rate change to our simulations, we can estimate the change in the Net Interest Margin (NIM). This new NIM is presented as a ratio to average earning assets. </w:t>
      </w:r>
      <w:r w:rsidR="008F25B7" w:rsidRPr="00234983">
        <w:rPr>
          <w:rFonts w:cstheme="minorHAnsi"/>
          <w:i/>
          <w:iCs/>
        </w:rPr>
        <w:t>Profit</w:t>
      </w:r>
      <w:r w:rsidRPr="00234983">
        <w:rPr>
          <w:rFonts w:cstheme="minorHAnsi"/>
          <w:i/>
          <w:iCs/>
        </w:rPr>
        <w:t xml:space="preserve"> and Loss (P&amp;L) </w:t>
      </w:r>
      <w:proofErr w:type="gramStart"/>
      <w:r w:rsidRPr="00234983">
        <w:rPr>
          <w:rFonts w:cstheme="minorHAnsi"/>
          <w:i/>
          <w:iCs/>
        </w:rPr>
        <w:t>is</w:t>
      </w:r>
      <w:proofErr w:type="gramEnd"/>
      <w:r w:rsidRPr="00234983">
        <w:rPr>
          <w:rFonts w:cstheme="minorHAnsi"/>
          <w:i/>
          <w:iCs/>
        </w:rPr>
        <w:t xml:space="preserve"> stated as a </w:t>
      </w:r>
      <w:r w:rsidR="008F25B7" w:rsidRPr="00234983">
        <w:rPr>
          <w:rFonts w:cstheme="minorHAnsi"/>
          <w:i/>
          <w:iCs/>
        </w:rPr>
        <w:t>percentage</w:t>
      </w:r>
      <w:r w:rsidRPr="00234983">
        <w:rPr>
          <w:rFonts w:cstheme="minorHAnsi"/>
          <w:i/>
          <w:iCs/>
        </w:rPr>
        <w:t xml:space="preserve"> of average assets and so, RiskGPS must convert the NIM as a </w:t>
      </w:r>
      <w:proofErr w:type="gramStart"/>
      <w:r w:rsidRPr="00234983">
        <w:rPr>
          <w:rFonts w:cstheme="minorHAnsi"/>
          <w:i/>
          <w:iCs/>
        </w:rPr>
        <w:t>percent</w:t>
      </w:r>
      <w:proofErr w:type="gramEnd"/>
      <w:r w:rsidRPr="00234983">
        <w:rPr>
          <w:rFonts w:cstheme="minorHAnsi"/>
          <w:i/>
          <w:iCs/>
        </w:rPr>
        <w:t xml:space="preserve"> of earning assets to a </w:t>
      </w:r>
      <w:proofErr w:type="gramStart"/>
      <w:r w:rsidRPr="00234983">
        <w:rPr>
          <w:rFonts w:cstheme="minorHAnsi"/>
          <w:i/>
          <w:iCs/>
        </w:rPr>
        <w:t>percent</w:t>
      </w:r>
      <w:proofErr w:type="gramEnd"/>
      <w:r w:rsidRPr="00234983">
        <w:rPr>
          <w:rFonts w:cstheme="minorHAnsi"/>
          <w:i/>
          <w:iCs/>
        </w:rPr>
        <w:t xml:space="preserve"> of average assets to use in the P&amp;L. This accounts for the difference in NIM on this report versus the NIM simulation on previous pages.</w:t>
      </w:r>
    </w:p>
    <w:p w14:paraId="104D848F" w14:textId="77777777" w:rsidR="008F25B7" w:rsidRDefault="008F25B7" w:rsidP="001803A2">
      <w:pPr>
        <w:spacing w:after="0"/>
        <w:ind w:right="80"/>
        <w:rPr>
          <w:rFonts w:cstheme="minorHAnsi"/>
        </w:rPr>
      </w:pPr>
    </w:p>
    <w:p w14:paraId="50B298ED" w14:textId="6735A6D1" w:rsidR="001803A2" w:rsidRPr="00ED5869" w:rsidRDefault="001803A2" w:rsidP="001803A2">
      <w:pPr>
        <w:spacing w:after="0"/>
        <w:ind w:right="80"/>
        <w:rPr>
          <w:rFonts w:cstheme="minorHAnsi"/>
        </w:rPr>
      </w:pPr>
      <w:r w:rsidRPr="00ED5869">
        <w:rPr>
          <w:rFonts w:cstheme="minorHAnsi"/>
        </w:rPr>
        <w:t xml:space="preserve">The other values in the P&amp;L are taken from the Risk Tolerance assumptions and are converted to ratios. The P&amp;L ratios as a percentage to average assets are shown for the previous four quarters, the current quarter, and the projected four quarters, to help the user see the trends. Also included on the far </w:t>
      </w:r>
      <w:proofErr w:type="gramStart"/>
      <w:r w:rsidRPr="00ED5869">
        <w:rPr>
          <w:rFonts w:cstheme="minorHAnsi"/>
        </w:rPr>
        <w:t>right</w:t>
      </w:r>
      <w:proofErr w:type="gramEnd"/>
      <w:r w:rsidRPr="00ED5869">
        <w:rPr>
          <w:rFonts w:cstheme="minorHAnsi"/>
        </w:rPr>
        <w:t xml:space="preserve"> of the page are the actual dollar value projections.</w:t>
      </w:r>
    </w:p>
    <w:p w14:paraId="6EA192A3" w14:textId="77777777" w:rsidR="001803A2" w:rsidRPr="00ED5869" w:rsidRDefault="001803A2" w:rsidP="001803A2">
      <w:pPr>
        <w:spacing w:after="0"/>
        <w:ind w:right="80"/>
        <w:rPr>
          <w:rFonts w:cstheme="minorHAnsi"/>
        </w:rPr>
      </w:pPr>
    </w:p>
    <w:p w14:paraId="1B3F41FD" w14:textId="77777777" w:rsidR="008F25B7" w:rsidRDefault="008F25B7" w:rsidP="001803A2">
      <w:pPr>
        <w:spacing w:after="0"/>
        <w:ind w:right="80"/>
        <w:rPr>
          <w:rFonts w:cstheme="minorHAnsi"/>
        </w:rPr>
      </w:pPr>
    </w:p>
    <w:p w14:paraId="47836F8D" w14:textId="1C1070E7" w:rsidR="001803A2" w:rsidRPr="00234983" w:rsidRDefault="00234983" w:rsidP="001803A2">
      <w:pPr>
        <w:spacing w:after="0"/>
        <w:ind w:right="80"/>
        <w:rPr>
          <w:rFonts w:cstheme="minorHAnsi"/>
          <w:b/>
          <w:bCs/>
          <w:u w:val="single"/>
        </w:rPr>
      </w:pPr>
      <w:r w:rsidRPr="00234983">
        <w:rPr>
          <w:rFonts w:cstheme="minorHAnsi"/>
          <w:b/>
          <w:bCs/>
          <w:u w:val="single"/>
        </w:rPr>
        <w:t>NAVIGATION</w:t>
      </w:r>
    </w:p>
    <w:p w14:paraId="613524B7" w14:textId="0A1E7F38" w:rsidR="001803A2" w:rsidRPr="00ED5869" w:rsidRDefault="001803A2" w:rsidP="001803A2">
      <w:pPr>
        <w:spacing w:after="0"/>
        <w:ind w:right="80"/>
        <w:rPr>
          <w:rFonts w:cstheme="minorHAnsi"/>
        </w:rPr>
      </w:pPr>
      <w:r w:rsidRPr="00ED5869">
        <w:rPr>
          <w:rFonts w:cstheme="minorHAnsi"/>
        </w:rPr>
        <w:t>RiskGPS is easy to navigate and web-based, making it easy to access anytime, anywhere.</w:t>
      </w:r>
      <w:r w:rsidR="004A00F9">
        <w:rPr>
          <w:rFonts w:cstheme="minorHAnsi"/>
        </w:rPr>
        <w:t xml:space="preserve"> </w:t>
      </w:r>
      <w:r w:rsidRPr="00ED5869">
        <w:rPr>
          <w:rFonts w:cstheme="minorHAnsi"/>
        </w:rPr>
        <w:t xml:space="preserve">The home screen </w:t>
      </w:r>
      <w:r w:rsidR="004A00F9">
        <w:rPr>
          <w:rFonts w:cstheme="minorHAnsi"/>
        </w:rPr>
        <w:t>displays</w:t>
      </w:r>
      <w:r w:rsidRPr="00ED5869">
        <w:rPr>
          <w:rFonts w:cstheme="minorHAnsi"/>
        </w:rPr>
        <w:t xml:space="preserve"> your institution’s name, the date the report was last updated, and the anniversary date of your subscription.</w:t>
      </w:r>
    </w:p>
    <w:p w14:paraId="41CDA03F" w14:textId="77777777" w:rsidR="004A00F9" w:rsidRDefault="004A00F9" w:rsidP="001803A2">
      <w:pPr>
        <w:spacing w:after="0"/>
        <w:ind w:right="80"/>
        <w:rPr>
          <w:rFonts w:cstheme="minorHAnsi"/>
        </w:rPr>
      </w:pPr>
    </w:p>
    <w:p w14:paraId="5CB7B4B7" w14:textId="52994CD5" w:rsidR="004A00F9" w:rsidRDefault="00234983" w:rsidP="001803A2">
      <w:pPr>
        <w:spacing w:after="0"/>
        <w:ind w:right="80"/>
        <w:rPr>
          <w:rFonts w:cstheme="minorHAnsi"/>
          <w:b/>
          <w:bCs/>
        </w:rPr>
      </w:pPr>
      <w:r>
        <w:rPr>
          <w:rFonts w:cstheme="minorHAnsi"/>
          <w:b/>
          <w:bCs/>
        </w:rPr>
        <w:t xml:space="preserve">RiskGPS </w:t>
      </w:r>
      <w:r w:rsidR="004A00F9" w:rsidRPr="004A00F9">
        <w:rPr>
          <w:rFonts w:cstheme="minorHAnsi"/>
          <w:b/>
          <w:bCs/>
        </w:rPr>
        <w:t>Main Menu</w:t>
      </w:r>
    </w:p>
    <w:p w14:paraId="7130C187" w14:textId="3D486D54" w:rsidR="004A00F9" w:rsidRDefault="004A00F9" w:rsidP="001803A2">
      <w:pPr>
        <w:spacing w:after="0"/>
        <w:ind w:right="80"/>
        <w:rPr>
          <w:rFonts w:cstheme="minorHAnsi"/>
        </w:rPr>
      </w:pPr>
      <w:r>
        <w:rPr>
          <w:rFonts w:cstheme="minorHAnsi"/>
        </w:rPr>
        <w:t>While t</w:t>
      </w:r>
      <w:r w:rsidRPr="00ED5869">
        <w:rPr>
          <w:rFonts w:cstheme="minorHAnsi"/>
        </w:rPr>
        <w:t>here are 4 menu options to choose from</w:t>
      </w:r>
      <w:r>
        <w:rPr>
          <w:rFonts w:cstheme="minorHAnsi"/>
        </w:rPr>
        <w:t>, m</w:t>
      </w:r>
      <w:r w:rsidRPr="00ED5869">
        <w:rPr>
          <w:rFonts w:cstheme="minorHAnsi"/>
        </w:rPr>
        <w:t>ost of your time will be spent in the Assumptions sections as you review and adjust your data.</w:t>
      </w:r>
    </w:p>
    <w:p w14:paraId="4EB893E6" w14:textId="77777777" w:rsidR="004A00F9" w:rsidRDefault="004A00F9" w:rsidP="001803A2">
      <w:pPr>
        <w:spacing w:after="0"/>
        <w:ind w:right="80"/>
        <w:rPr>
          <w:rFonts w:cstheme="minorHAnsi"/>
        </w:rPr>
      </w:pPr>
    </w:p>
    <w:p w14:paraId="24ECA71C" w14:textId="1FA66D37" w:rsidR="004A00F9" w:rsidRPr="004A00F9" w:rsidRDefault="004A00F9" w:rsidP="001803A2">
      <w:pPr>
        <w:spacing w:after="0"/>
        <w:ind w:right="80"/>
        <w:rPr>
          <w:rFonts w:cstheme="minorHAnsi"/>
        </w:rPr>
      </w:pPr>
      <w:r>
        <w:rPr>
          <w:rFonts w:cstheme="minorHAnsi"/>
        </w:rPr>
        <w:t>Menu options:</w:t>
      </w:r>
    </w:p>
    <w:p w14:paraId="5EB93E75" w14:textId="77777777" w:rsidR="001803A2" w:rsidRPr="00ED5869" w:rsidRDefault="001803A2" w:rsidP="001803A2">
      <w:pPr>
        <w:pStyle w:val="ListParagraph"/>
        <w:numPr>
          <w:ilvl w:val="0"/>
          <w:numId w:val="25"/>
        </w:numPr>
        <w:spacing w:after="0"/>
        <w:ind w:right="80"/>
        <w:rPr>
          <w:rFonts w:cstheme="minorHAnsi"/>
        </w:rPr>
      </w:pPr>
      <w:r w:rsidRPr="00ED5869">
        <w:rPr>
          <w:rFonts w:cstheme="minorHAnsi"/>
        </w:rPr>
        <w:t xml:space="preserve">View Report </w:t>
      </w:r>
    </w:p>
    <w:p w14:paraId="039DFC94" w14:textId="77777777" w:rsidR="001803A2" w:rsidRPr="00ED5869" w:rsidRDefault="001803A2" w:rsidP="001803A2">
      <w:pPr>
        <w:pStyle w:val="ListParagraph"/>
        <w:numPr>
          <w:ilvl w:val="0"/>
          <w:numId w:val="25"/>
        </w:numPr>
        <w:spacing w:after="0"/>
        <w:ind w:right="80"/>
        <w:rPr>
          <w:rFonts w:cstheme="minorHAnsi"/>
        </w:rPr>
      </w:pPr>
      <w:r w:rsidRPr="00ED5869">
        <w:rPr>
          <w:rFonts w:cstheme="minorHAnsi"/>
        </w:rPr>
        <w:t>Assumptions</w:t>
      </w:r>
    </w:p>
    <w:p w14:paraId="5EEF66B9" w14:textId="77777777" w:rsidR="001803A2" w:rsidRPr="00ED5869" w:rsidRDefault="001803A2" w:rsidP="001803A2">
      <w:pPr>
        <w:pStyle w:val="ListParagraph"/>
        <w:numPr>
          <w:ilvl w:val="0"/>
          <w:numId w:val="25"/>
        </w:numPr>
        <w:spacing w:after="0"/>
        <w:ind w:right="80"/>
        <w:rPr>
          <w:rFonts w:cstheme="minorHAnsi"/>
        </w:rPr>
      </w:pPr>
      <w:r w:rsidRPr="00ED5869">
        <w:rPr>
          <w:rFonts w:cstheme="minorHAnsi"/>
        </w:rPr>
        <w:t>Data Update</w:t>
      </w:r>
    </w:p>
    <w:p w14:paraId="2144A073" w14:textId="77777777" w:rsidR="001803A2" w:rsidRPr="00ED5869" w:rsidRDefault="001803A2" w:rsidP="001803A2">
      <w:pPr>
        <w:pStyle w:val="ListParagraph"/>
        <w:numPr>
          <w:ilvl w:val="0"/>
          <w:numId w:val="25"/>
        </w:numPr>
        <w:spacing w:after="0"/>
        <w:ind w:right="80"/>
        <w:rPr>
          <w:rFonts w:cstheme="minorHAnsi"/>
        </w:rPr>
      </w:pPr>
      <w:r w:rsidRPr="00ED5869">
        <w:rPr>
          <w:rFonts w:cstheme="minorHAnsi"/>
        </w:rPr>
        <w:t>Setup</w:t>
      </w:r>
    </w:p>
    <w:p w14:paraId="60CC1C10" w14:textId="77777777" w:rsidR="001803A2" w:rsidRPr="00ED5869" w:rsidRDefault="001803A2" w:rsidP="001803A2">
      <w:pPr>
        <w:spacing w:after="0"/>
        <w:ind w:right="80"/>
        <w:rPr>
          <w:rFonts w:cstheme="minorHAnsi"/>
        </w:rPr>
      </w:pPr>
    </w:p>
    <w:p w14:paraId="78A0E28A" w14:textId="5E256543" w:rsidR="001803A2" w:rsidRPr="00ED5869" w:rsidRDefault="001803A2" w:rsidP="001803A2">
      <w:pPr>
        <w:pStyle w:val="ListParagraph"/>
        <w:numPr>
          <w:ilvl w:val="0"/>
          <w:numId w:val="27"/>
        </w:numPr>
        <w:spacing w:after="0"/>
        <w:ind w:right="80"/>
        <w:rPr>
          <w:rFonts w:cstheme="minorHAnsi"/>
        </w:rPr>
      </w:pPr>
      <w:r w:rsidRPr="004A00F9">
        <w:rPr>
          <w:rFonts w:cstheme="minorHAnsi"/>
          <w:b/>
          <w:bCs/>
        </w:rPr>
        <w:t>View Report</w:t>
      </w:r>
      <w:r w:rsidR="004A00F9" w:rsidRPr="00ED5869">
        <w:rPr>
          <w:rFonts w:cstheme="minorHAnsi"/>
        </w:rPr>
        <w:t>: Allows</w:t>
      </w:r>
      <w:r w:rsidRPr="00ED5869">
        <w:rPr>
          <w:rFonts w:cstheme="minorHAnsi"/>
        </w:rPr>
        <w:t xml:space="preserve"> direct access to any page of the final report. As you modify and save your assumptions, you will be taken immediately to the report page most affected by the adjustments made.</w:t>
      </w:r>
      <w:r w:rsidR="00234983">
        <w:rPr>
          <w:rFonts w:cstheme="minorHAnsi"/>
        </w:rPr>
        <w:br/>
      </w:r>
    </w:p>
    <w:p w14:paraId="10F68156" w14:textId="0C4BF10F" w:rsidR="001803A2" w:rsidRPr="004A00F9" w:rsidRDefault="001803A2" w:rsidP="001803A2">
      <w:pPr>
        <w:pStyle w:val="ListParagraph"/>
        <w:numPr>
          <w:ilvl w:val="0"/>
          <w:numId w:val="27"/>
        </w:numPr>
        <w:spacing w:after="0"/>
        <w:ind w:right="80"/>
        <w:rPr>
          <w:rFonts w:cstheme="minorHAnsi"/>
        </w:rPr>
      </w:pPr>
      <w:r w:rsidRPr="004A00F9">
        <w:rPr>
          <w:rFonts w:cstheme="minorHAnsi"/>
          <w:b/>
          <w:bCs/>
        </w:rPr>
        <w:lastRenderedPageBreak/>
        <w:t>Assumptions</w:t>
      </w:r>
      <w:r w:rsidR="004A00F9" w:rsidRPr="00ED5869">
        <w:rPr>
          <w:rFonts w:cstheme="minorHAnsi"/>
        </w:rPr>
        <w:t>: There</w:t>
      </w:r>
      <w:r w:rsidRPr="00ED5869">
        <w:rPr>
          <w:rFonts w:cstheme="minorHAnsi"/>
        </w:rPr>
        <w:t xml:space="preserve"> are five sub-options that allow the user to further quantify the data being used in the analysis.</w:t>
      </w:r>
    </w:p>
    <w:p w14:paraId="5BCC6FBF" w14:textId="77777777" w:rsidR="001803A2" w:rsidRPr="00ED5869" w:rsidRDefault="001803A2" w:rsidP="004A00F9">
      <w:pPr>
        <w:pStyle w:val="ListParagraph"/>
        <w:numPr>
          <w:ilvl w:val="0"/>
          <w:numId w:val="26"/>
        </w:numPr>
        <w:spacing w:after="0"/>
        <w:ind w:left="990" w:right="80" w:hanging="270"/>
        <w:rPr>
          <w:rFonts w:cstheme="minorHAnsi"/>
        </w:rPr>
      </w:pPr>
      <w:r w:rsidRPr="00ED5869">
        <w:rPr>
          <w:rFonts w:cstheme="minorHAnsi"/>
        </w:rPr>
        <w:t xml:space="preserve">Risk Tolerance Assumptions </w:t>
      </w:r>
    </w:p>
    <w:p w14:paraId="4CE7D25F" w14:textId="77777777" w:rsidR="001803A2" w:rsidRPr="00ED5869" w:rsidRDefault="001803A2" w:rsidP="004A00F9">
      <w:pPr>
        <w:pStyle w:val="ListParagraph"/>
        <w:numPr>
          <w:ilvl w:val="0"/>
          <w:numId w:val="26"/>
        </w:numPr>
        <w:spacing w:after="0"/>
        <w:ind w:left="990" w:right="80" w:hanging="270"/>
        <w:rPr>
          <w:rFonts w:cstheme="minorHAnsi"/>
        </w:rPr>
      </w:pPr>
      <w:r w:rsidRPr="00ED5869">
        <w:rPr>
          <w:rFonts w:cstheme="minorHAnsi"/>
        </w:rPr>
        <w:t>Loan Assumptions</w:t>
      </w:r>
    </w:p>
    <w:p w14:paraId="747E5422" w14:textId="77777777" w:rsidR="001803A2" w:rsidRPr="00ED5869" w:rsidRDefault="001803A2" w:rsidP="004A00F9">
      <w:pPr>
        <w:pStyle w:val="ListParagraph"/>
        <w:numPr>
          <w:ilvl w:val="0"/>
          <w:numId w:val="26"/>
        </w:numPr>
        <w:spacing w:after="0"/>
        <w:ind w:left="990" w:right="80" w:hanging="270"/>
        <w:rPr>
          <w:rFonts w:cstheme="minorHAnsi"/>
        </w:rPr>
      </w:pPr>
      <w:r w:rsidRPr="00ED5869">
        <w:rPr>
          <w:rFonts w:cstheme="minorHAnsi"/>
        </w:rPr>
        <w:t xml:space="preserve">Securities Assumptions </w:t>
      </w:r>
    </w:p>
    <w:p w14:paraId="2D6EA373" w14:textId="77777777" w:rsidR="001803A2" w:rsidRPr="00ED5869" w:rsidRDefault="001803A2" w:rsidP="004A00F9">
      <w:pPr>
        <w:pStyle w:val="ListParagraph"/>
        <w:numPr>
          <w:ilvl w:val="0"/>
          <w:numId w:val="26"/>
        </w:numPr>
        <w:spacing w:after="0"/>
        <w:ind w:left="990" w:right="80" w:hanging="270"/>
        <w:rPr>
          <w:rFonts w:cstheme="minorHAnsi"/>
        </w:rPr>
      </w:pPr>
      <w:r w:rsidRPr="00ED5869">
        <w:rPr>
          <w:rFonts w:cstheme="minorHAnsi"/>
        </w:rPr>
        <w:t>Deposit Assumptions</w:t>
      </w:r>
    </w:p>
    <w:p w14:paraId="08813970" w14:textId="77777777" w:rsidR="001803A2" w:rsidRPr="00ED5869" w:rsidRDefault="001803A2" w:rsidP="004A00F9">
      <w:pPr>
        <w:pStyle w:val="ListParagraph"/>
        <w:numPr>
          <w:ilvl w:val="0"/>
          <w:numId w:val="26"/>
        </w:numPr>
        <w:spacing w:after="0"/>
        <w:ind w:left="990" w:right="80" w:hanging="270"/>
        <w:rPr>
          <w:rFonts w:cstheme="minorHAnsi"/>
        </w:rPr>
      </w:pPr>
      <w:r w:rsidRPr="00ED5869">
        <w:rPr>
          <w:rFonts w:cstheme="minorHAnsi"/>
        </w:rPr>
        <w:t>Reclassifications Assumptions</w:t>
      </w:r>
    </w:p>
    <w:p w14:paraId="60853C2D" w14:textId="77777777" w:rsidR="001803A2" w:rsidRPr="00ED5869" w:rsidRDefault="001803A2" w:rsidP="001803A2">
      <w:pPr>
        <w:spacing w:after="0"/>
        <w:ind w:right="80"/>
        <w:rPr>
          <w:rFonts w:cstheme="minorHAnsi"/>
        </w:rPr>
      </w:pPr>
    </w:p>
    <w:p w14:paraId="4678F6C7" w14:textId="12D76C49" w:rsidR="001803A2" w:rsidRPr="004A00F9" w:rsidRDefault="001803A2" w:rsidP="001803A2">
      <w:pPr>
        <w:pStyle w:val="ListParagraph"/>
        <w:numPr>
          <w:ilvl w:val="0"/>
          <w:numId w:val="27"/>
        </w:numPr>
        <w:spacing w:after="0"/>
        <w:ind w:right="80"/>
        <w:rPr>
          <w:rFonts w:cstheme="minorHAnsi"/>
        </w:rPr>
      </w:pPr>
      <w:r w:rsidRPr="004A00F9">
        <w:rPr>
          <w:rFonts w:cstheme="minorHAnsi"/>
          <w:b/>
          <w:bCs/>
        </w:rPr>
        <w:t>Data Update</w:t>
      </w:r>
      <w:r w:rsidR="004A00F9" w:rsidRPr="00ED5869">
        <w:rPr>
          <w:rFonts w:cstheme="minorHAnsi"/>
        </w:rPr>
        <w:t>: There</w:t>
      </w:r>
      <w:r w:rsidRPr="00ED5869">
        <w:rPr>
          <w:rFonts w:cstheme="minorHAnsi"/>
        </w:rPr>
        <w:t xml:space="preserve"> are three sub-options in this feature:</w:t>
      </w:r>
    </w:p>
    <w:p w14:paraId="29A00F3B" w14:textId="77777777" w:rsidR="001803A2" w:rsidRPr="00ED5869" w:rsidRDefault="001803A2" w:rsidP="004A00F9">
      <w:pPr>
        <w:pStyle w:val="ListParagraph"/>
        <w:numPr>
          <w:ilvl w:val="0"/>
          <w:numId w:val="28"/>
        </w:numPr>
        <w:spacing w:after="0"/>
        <w:ind w:left="990" w:right="80" w:hanging="270"/>
        <w:rPr>
          <w:rFonts w:cstheme="minorHAnsi"/>
        </w:rPr>
      </w:pPr>
      <w:r w:rsidRPr="00234983">
        <w:rPr>
          <w:rFonts w:cstheme="minorHAnsi"/>
          <w:b/>
          <w:bCs/>
        </w:rPr>
        <w:t>Upload TRN</w:t>
      </w:r>
      <w:r w:rsidRPr="00ED5869">
        <w:rPr>
          <w:rFonts w:cstheme="minorHAnsi"/>
        </w:rPr>
        <w:t xml:space="preserve">: </w:t>
      </w:r>
      <w:proofErr w:type="gramStart"/>
      <w:r w:rsidRPr="00ED5869">
        <w:rPr>
          <w:rFonts w:cstheme="minorHAnsi"/>
        </w:rPr>
        <w:t>load</w:t>
      </w:r>
      <w:proofErr w:type="gramEnd"/>
      <w:r w:rsidRPr="00ED5869">
        <w:rPr>
          <w:rFonts w:cstheme="minorHAnsi"/>
        </w:rPr>
        <w:t xml:space="preserve"> the bank’s current quarter Call Report transmission file</w:t>
      </w:r>
    </w:p>
    <w:p w14:paraId="7C75033A" w14:textId="77777777" w:rsidR="001803A2" w:rsidRPr="00ED5869" w:rsidRDefault="001803A2" w:rsidP="004A00F9">
      <w:pPr>
        <w:pStyle w:val="ListParagraph"/>
        <w:numPr>
          <w:ilvl w:val="0"/>
          <w:numId w:val="28"/>
        </w:numPr>
        <w:spacing w:after="0"/>
        <w:ind w:left="990" w:right="80" w:hanging="270"/>
        <w:rPr>
          <w:rFonts w:cstheme="minorHAnsi"/>
        </w:rPr>
      </w:pPr>
      <w:r w:rsidRPr="00234983">
        <w:rPr>
          <w:rFonts w:cstheme="minorHAnsi"/>
          <w:b/>
          <w:bCs/>
        </w:rPr>
        <w:t>Rollback TRN</w:t>
      </w:r>
      <w:r w:rsidRPr="00ED5869">
        <w:rPr>
          <w:rFonts w:cstheme="minorHAnsi"/>
        </w:rPr>
        <w:t xml:space="preserve">: allows you to go back one quarter after the current transmission file has been uploaded </w:t>
      </w:r>
    </w:p>
    <w:p w14:paraId="3009BC23" w14:textId="77777777" w:rsidR="001803A2" w:rsidRPr="00ED5869" w:rsidRDefault="001803A2" w:rsidP="004A00F9">
      <w:pPr>
        <w:pStyle w:val="ListParagraph"/>
        <w:numPr>
          <w:ilvl w:val="0"/>
          <w:numId w:val="28"/>
        </w:numPr>
        <w:spacing w:after="0"/>
        <w:ind w:left="990" w:right="80" w:hanging="270"/>
        <w:rPr>
          <w:rFonts w:cstheme="minorHAnsi"/>
        </w:rPr>
      </w:pPr>
      <w:r w:rsidRPr="00234983">
        <w:rPr>
          <w:rFonts w:cstheme="minorHAnsi"/>
          <w:b/>
          <w:bCs/>
        </w:rPr>
        <w:t>Reload</w:t>
      </w:r>
      <w:r w:rsidRPr="00ED5869">
        <w:rPr>
          <w:rFonts w:cstheme="minorHAnsi"/>
        </w:rPr>
        <w:t xml:space="preserve"> (uncommon): refresh your RiskGPS plan by loading an amended Call Report</w:t>
      </w:r>
    </w:p>
    <w:p w14:paraId="00834C22" w14:textId="77777777" w:rsidR="001803A2" w:rsidRPr="00ED5869" w:rsidRDefault="001803A2" w:rsidP="004A00F9">
      <w:pPr>
        <w:spacing w:after="0"/>
        <w:ind w:left="990" w:right="80" w:hanging="270"/>
        <w:rPr>
          <w:rFonts w:cstheme="minorHAnsi"/>
        </w:rPr>
      </w:pPr>
    </w:p>
    <w:p w14:paraId="55290BBC" w14:textId="24FFE3BE" w:rsidR="001803A2" w:rsidRPr="004A00F9" w:rsidRDefault="001803A2" w:rsidP="001803A2">
      <w:pPr>
        <w:pStyle w:val="ListParagraph"/>
        <w:numPr>
          <w:ilvl w:val="0"/>
          <w:numId w:val="27"/>
        </w:numPr>
        <w:spacing w:after="0"/>
        <w:ind w:right="80"/>
        <w:rPr>
          <w:rFonts w:cstheme="minorHAnsi"/>
        </w:rPr>
      </w:pPr>
      <w:r w:rsidRPr="004A00F9">
        <w:rPr>
          <w:rFonts w:cstheme="minorHAnsi"/>
          <w:b/>
          <w:bCs/>
        </w:rPr>
        <w:t>Setup</w:t>
      </w:r>
      <w:r w:rsidRPr="00ED5869">
        <w:rPr>
          <w:rFonts w:cstheme="minorHAnsi"/>
        </w:rPr>
        <w:t>: Allows you to order a Model Validation report for examiners, or to add additional subject banks for analysis. There is a fee to add additional subject banks.</w:t>
      </w:r>
      <w:r w:rsidR="004A00F9">
        <w:rPr>
          <w:rFonts w:cstheme="minorHAnsi"/>
        </w:rPr>
        <w:t xml:space="preserve"> </w:t>
      </w:r>
      <w:r w:rsidRPr="004A00F9">
        <w:rPr>
          <w:rFonts w:cstheme="minorHAnsi"/>
        </w:rPr>
        <w:t xml:space="preserve">Note: If you acquire a new institution or run analyses for multiple banks, you may add these additional Subject Banks as needed. </w:t>
      </w:r>
      <w:r w:rsidR="004A00F9">
        <w:rPr>
          <w:rFonts w:cstheme="minorHAnsi"/>
        </w:rPr>
        <w:t>The</w:t>
      </w:r>
      <w:r w:rsidRPr="004A00F9">
        <w:rPr>
          <w:rFonts w:cstheme="minorHAnsi"/>
        </w:rPr>
        <w:t xml:space="preserve"> additional banks will appear within the "Subject Bank Selection" box. However, please be advised that you will be charged for each Subject Bank added to your account. The user is responsible for payment for all </w:t>
      </w:r>
      <w:proofErr w:type="gramStart"/>
      <w:r w:rsidRPr="004A00F9">
        <w:rPr>
          <w:rFonts w:cstheme="minorHAnsi"/>
        </w:rPr>
        <w:t>banks</w:t>
      </w:r>
      <w:proofErr w:type="gramEnd"/>
      <w:r w:rsidRPr="004A00F9">
        <w:rPr>
          <w:rFonts w:cstheme="minorHAnsi"/>
        </w:rPr>
        <w:t xml:space="preserve"> selected and may only be removed by a member of our staff. If you select a bank in error, please call us immediately so that we </w:t>
      </w:r>
      <w:r w:rsidR="004A00F9" w:rsidRPr="004A00F9">
        <w:rPr>
          <w:rFonts w:cstheme="minorHAnsi"/>
        </w:rPr>
        <w:t>can</w:t>
      </w:r>
      <w:r w:rsidRPr="004A00F9">
        <w:rPr>
          <w:rFonts w:cstheme="minorHAnsi"/>
        </w:rPr>
        <w:t xml:space="preserve"> adjust your account accordingly.</w:t>
      </w:r>
    </w:p>
    <w:p w14:paraId="22B4128D" w14:textId="77777777" w:rsidR="001803A2" w:rsidRPr="00ED5869" w:rsidRDefault="001803A2" w:rsidP="001803A2">
      <w:pPr>
        <w:spacing w:after="0"/>
        <w:ind w:right="80"/>
        <w:rPr>
          <w:rFonts w:cstheme="minorHAnsi"/>
        </w:rPr>
      </w:pPr>
    </w:p>
    <w:p w14:paraId="71386A3C" w14:textId="79FD4E7E" w:rsidR="001803A2" w:rsidRPr="00ED5869" w:rsidRDefault="001803A2" w:rsidP="001803A2">
      <w:pPr>
        <w:spacing w:after="0"/>
        <w:ind w:right="80"/>
        <w:rPr>
          <w:rFonts w:cstheme="minorHAnsi"/>
        </w:rPr>
      </w:pPr>
      <w:r w:rsidRPr="00ED5869">
        <w:rPr>
          <w:rFonts w:cstheme="minorHAnsi"/>
        </w:rPr>
        <w:t xml:space="preserve">In addition to the various tabs from which to operate RiskGPS, </w:t>
      </w:r>
      <w:r w:rsidR="004A00F9">
        <w:rPr>
          <w:rFonts w:cstheme="minorHAnsi"/>
        </w:rPr>
        <w:t xml:space="preserve">the </w:t>
      </w:r>
      <w:r w:rsidRPr="00ED5869">
        <w:rPr>
          <w:rFonts w:cstheme="minorHAnsi"/>
        </w:rPr>
        <w:t>tool bar in the upper right-hand corner allows you to move from page to page, generate reports and export them to a PDF file, access a copy of the RiskGPS User's Guide online via the Help menu, send feedback to our staff, and log out of the system.</w:t>
      </w:r>
    </w:p>
    <w:p w14:paraId="1C5076C9" w14:textId="77777777" w:rsidR="001803A2" w:rsidRPr="00ED5869" w:rsidRDefault="001803A2" w:rsidP="001803A2">
      <w:pPr>
        <w:spacing w:after="0"/>
        <w:ind w:right="80"/>
        <w:rPr>
          <w:rFonts w:cstheme="minorHAnsi"/>
        </w:rPr>
      </w:pPr>
    </w:p>
    <w:p w14:paraId="582C362F" w14:textId="72E46650" w:rsidR="004A00F9" w:rsidRDefault="001803A2" w:rsidP="001803A2">
      <w:pPr>
        <w:spacing w:after="0"/>
        <w:ind w:right="80"/>
        <w:rPr>
          <w:rFonts w:cstheme="minorHAnsi"/>
          <w:b/>
          <w:bCs/>
        </w:rPr>
      </w:pPr>
      <w:r w:rsidRPr="004A00F9">
        <w:rPr>
          <w:rFonts w:cstheme="minorHAnsi"/>
          <w:b/>
          <w:bCs/>
        </w:rPr>
        <w:t>Data Update</w:t>
      </w:r>
      <w:r w:rsidR="00234983">
        <w:rPr>
          <w:rFonts w:cstheme="minorHAnsi"/>
          <w:b/>
          <w:bCs/>
        </w:rPr>
        <w:t>s</w:t>
      </w:r>
    </w:p>
    <w:p w14:paraId="44384D45" w14:textId="77777777" w:rsidR="004A00F9" w:rsidRPr="004A00F9" w:rsidRDefault="004A00F9" w:rsidP="004A00F9">
      <w:pPr>
        <w:spacing w:after="0"/>
        <w:ind w:right="80"/>
        <w:rPr>
          <w:rFonts w:cstheme="minorHAnsi"/>
          <w:b/>
          <w:bCs/>
        </w:rPr>
      </w:pPr>
      <w:r w:rsidRPr="004A00F9">
        <w:rPr>
          <w:rFonts w:cstheme="minorHAnsi"/>
          <w:b/>
          <w:bCs/>
        </w:rPr>
        <w:t xml:space="preserve">When is RiskGPS updated with new data? </w:t>
      </w:r>
    </w:p>
    <w:p w14:paraId="3EF916E0" w14:textId="08CC6262" w:rsidR="004A00F9" w:rsidRPr="00234983" w:rsidRDefault="004A00F9" w:rsidP="004A00F9">
      <w:pPr>
        <w:spacing w:after="0"/>
        <w:ind w:right="80"/>
        <w:rPr>
          <w:rFonts w:cstheme="minorHAnsi"/>
          <w:i/>
          <w:iCs/>
        </w:rPr>
      </w:pPr>
      <w:r w:rsidRPr="00234983">
        <w:rPr>
          <w:rFonts w:cstheme="minorHAnsi"/>
          <w:i/>
          <w:iCs/>
        </w:rPr>
        <w:t>Approximately five weeks after the end of the quarter, or shortly after the required quarter filing cycle has concluded, RiskGPS automatically updates all bank records from the FDIC. Once this global update occurs, you will be unable to access previous quarterly reports.</w:t>
      </w:r>
    </w:p>
    <w:p w14:paraId="74EF5BCD" w14:textId="77777777" w:rsidR="004A00F9" w:rsidRPr="00ED5869" w:rsidRDefault="004A00F9" w:rsidP="004A00F9">
      <w:pPr>
        <w:spacing w:after="0"/>
        <w:ind w:right="80"/>
        <w:rPr>
          <w:rFonts w:cstheme="minorHAnsi"/>
        </w:rPr>
      </w:pPr>
    </w:p>
    <w:p w14:paraId="1DA1ABCE" w14:textId="54FAB058" w:rsidR="004A00F9" w:rsidRPr="00ED5869" w:rsidRDefault="004A00F9" w:rsidP="004A00F9">
      <w:pPr>
        <w:spacing w:after="0"/>
        <w:ind w:right="80"/>
        <w:rPr>
          <w:rFonts w:cstheme="minorHAnsi"/>
        </w:rPr>
      </w:pPr>
      <w:r w:rsidRPr="00ED5869">
        <w:rPr>
          <w:rFonts w:cstheme="minorHAnsi"/>
        </w:rPr>
        <w:t xml:space="preserve">In the rare event that your institution </w:t>
      </w:r>
      <w:r>
        <w:rPr>
          <w:rFonts w:cstheme="minorHAnsi"/>
        </w:rPr>
        <w:t>submits</w:t>
      </w:r>
      <w:r w:rsidRPr="00ED5869">
        <w:rPr>
          <w:rFonts w:cstheme="minorHAnsi"/>
        </w:rPr>
        <w:t xml:space="preserve"> an amended Call Report after </w:t>
      </w:r>
      <w:r>
        <w:rPr>
          <w:rFonts w:cstheme="minorHAnsi"/>
        </w:rPr>
        <w:t xml:space="preserve">the </w:t>
      </w:r>
      <w:r w:rsidRPr="00ED5869">
        <w:rPr>
          <w:rFonts w:cstheme="minorHAnsi"/>
        </w:rPr>
        <w:t xml:space="preserve">RiskGPS </w:t>
      </w:r>
      <w:r>
        <w:rPr>
          <w:rFonts w:cstheme="minorHAnsi"/>
        </w:rPr>
        <w:t>global</w:t>
      </w:r>
      <w:r w:rsidRPr="00ED5869">
        <w:rPr>
          <w:rFonts w:cstheme="minorHAnsi"/>
        </w:rPr>
        <w:t xml:space="preserve"> data</w:t>
      </w:r>
      <w:r>
        <w:rPr>
          <w:rFonts w:cstheme="minorHAnsi"/>
        </w:rPr>
        <w:t xml:space="preserve"> update</w:t>
      </w:r>
      <w:r w:rsidRPr="00ED5869">
        <w:rPr>
          <w:rFonts w:cstheme="minorHAnsi"/>
        </w:rPr>
        <w:t xml:space="preserve">, you can refresh your RiskGPS plan by using the </w:t>
      </w:r>
      <w:r w:rsidRPr="00ED5869">
        <w:rPr>
          <w:rFonts w:cstheme="minorHAnsi"/>
          <w:u w:val="single" w:color="000000"/>
        </w:rPr>
        <w:t>Reload</w:t>
      </w:r>
      <w:r w:rsidRPr="00ED5869">
        <w:rPr>
          <w:rFonts w:cstheme="minorHAnsi"/>
        </w:rPr>
        <w:t xml:space="preserve"> option. The system will access the FDIC website and pull your amended quarter information. You will NOT be able to reload prior quarter information when filing multiple revised Call Reports, but the revised information will be included in historical information used by the system for calculation trends and default assumptions.</w:t>
      </w:r>
    </w:p>
    <w:p w14:paraId="4E7248DF" w14:textId="77777777" w:rsidR="004A00F9" w:rsidRDefault="004A00F9" w:rsidP="001803A2">
      <w:pPr>
        <w:spacing w:after="0"/>
        <w:ind w:right="80"/>
        <w:rPr>
          <w:rFonts w:cstheme="minorHAnsi"/>
        </w:rPr>
      </w:pPr>
    </w:p>
    <w:p w14:paraId="6FB4DB44" w14:textId="35582232" w:rsidR="004A00F9" w:rsidRPr="004A00F9" w:rsidRDefault="004A00F9" w:rsidP="001803A2">
      <w:pPr>
        <w:spacing w:after="0"/>
        <w:ind w:right="80"/>
        <w:rPr>
          <w:rFonts w:cstheme="minorHAnsi"/>
          <w:b/>
          <w:bCs/>
        </w:rPr>
      </w:pPr>
      <w:r w:rsidRPr="004A00F9">
        <w:rPr>
          <w:rFonts w:cstheme="minorHAnsi"/>
          <w:b/>
          <w:bCs/>
        </w:rPr>
        <w:t>Can I update RiskGPS with new data before the global update?</w:t>
      </w:r>
    </w:p>
    <w:p w14:paraId="03B42C54" w14:textId="5038D370" w:rsidR="001803A2" w:rsidRPr="00ED5869" w:rsidRDefault="004A00F9" w:rsidP="001803A2">
      <w:pPr>
        <w:spacing w:after="0"/>
        <w:ind w:right="80"/>
        <w:rPr>
          <w:rFonts w:cstheme="minorHAnsi"/>
        </w:rPr>
      </w:pPr>
      <w:r w:rsidRPr="004A00F9">
        <w:rPr>
          <w:rFonts w:cstheme="minorHAnsi"/>
        </w:rPr>
        <w:lastRenderedPageBreak/>
        <w:t xml:space="preserve">Yes, </w:t>
      </w:r>
      <w:r w:rsidR="001803A2" w:rsidRPr="004A00F9">
        <w:rPr>
          <w:rFonts w:cstheme="minorHAnsi"/>
        </w:rPr>
        <w:t xml:space="preserve">you </w:t>
      </w:r>
      <w:r w:rsidRPr="004A00F9">
        <w:rPr>
          <w:rFonts w:cstheme="minorHAnsi"/>
        </w:rPr>
        <w:t>can</w:t>
      </w:r>
      <w:r w:rsidR="001803A2" w:rsidRPr="004A00F9">
        <w:rPr>
          <w:rFonts w:cstheme="minorHAnsi"/>
        </w:rPr>
        <w:t xml:space="preserve"> upload </w:t>
      </w:r>
      <w:r>
        <w:rPr>
          <w:rFonts w:cstheme="minorHAnsi"/>
        </w:rPr>
        <w:t>your new</w:t>
      </w:r>
      <w:r w:rsidR="001803A2" w:rsidRPr="004A00F9">
        <w:rPr>
          <w:rFonts w:cstheme="minorHAnsi"/>
        </w:rPr>
        <w:t xml:space="preserve"> data into RiskGPS</w:t>
      </w:r>
      <w:r>
        <w:rPr>
          <w:rFonts w:cstheme="minorHAnsi"/>
        </w:rPr>
        <w:t xml:space="preserve"> once you’ve filed your new quarterly call report</w:t>
      </w:r>
      <w:r w:rsidR="001803A2" w:rsidRPr="004A00F9">
        <w:rPr>
          <w:rFonts w:cstheme="minorHAnsi"/>
        </w:rPr>
        <w:t xml:space="preserve">. </w:t>
      </w:r>
      <w:r>
        <w:rPr>
          <w:rFonts w:cstheme="minorHAnsi"/>
        </w:rPr>
        <w:t>Using the Data Update menu option, s</w:t>
      </w:r>
      <w:r w:rsidR="001803A2" w:rsidRPr="00ED5869">
        <w:rPr>
          <w:rFonts w:cstheme="minorHAnsi"/>
        </w:rPr>
        <w:t xml:space="preserve">imply select </w:t>
      </w:r>
      <w:r w:rsidR="001803A2" w:rsidRPr="00ED5869">
        <w:rPr>
          <w:rFonts w:cstheme="minorHAnsi"/>
          <w:u w:val="single" w:color="000000"/>
        </w:rPr>
        <w:t>Upload TRN</w:t>
      </w:r>
      <w:r w:rsidR="001803A2" w:rsidRPr="00ED5869">
        <w:rPr>
          <w:rFonts w:cstheme="minorHAnsi"/>
        </w:rPr>
        <w:t xml:space="preserve"> for the current quarter. You will be asked to browse for the location of your </w:t>
      </w:r>
      <w:r w:rsidR="001803A2" w:rsidRPr="004A00F9">
        <w:rPr>
          <w:rFonts w:cstheme="minorHAnsi"/>
          <w:b/>
          <w:bCs/>
        </w:rPr>
        <w:t>Call Report Transmission file</w:t>
      </w:r>
      <w:r w:rsidRPr="004A00F9">
        <w:rPr>
          <w:rFonts w:cstheme="minorHAnsi"/>
          <w:b/>
          <w:bCs/>
        </w:rPr>
        <w:t xml:space="preserve"> (TRN)</w:t>
      </w:r>
      <w:r w:rsidR="001803A2" w:rsidRPr="00ED5869">
        <w:rPr>
          <w:rFonts w:cstheme="minorHAnsi"/>
        </w:rPr>
        <w:t xml:space="preserve">. Select your file and the data will </w:t>
      </w:r>
      <w:proofErr w:type="gramStart"/>
      <w:r w:rsidR="001803A2" w:rsidRPr="00ED5869">
        <w:rPr>
          <w:rFonts w:cstheme="minorHAnsi"/>
        </w:rPr>
        <w:t>upload</w:t>
      </w:r>
      <w:proofErr w:type="gramEnd"/>
      <w:r w:rsidR="001803A2" w:rsidRPr="00ED5869">
        <w:rPr>
          <w:rFonts w:cstheme="minorHAnsi"/>
        </w:rPr>
        <w:t xml:space="preserve"> in seconds.</w:t>
      </w:r>
    </w:p>
    <w:p w14:paraId="321532A9" w14:textId="77777777" w:rsidR="001803A2" w:rsidRPr="00ED5869" w:rsidRDefault="001803A2" w:rsidP="001803A2">
      <w:pPr>
        <w:spacing w:after="0"/>
        <w:ind w:right="80"/>
        <w:rPr>
          <w:rFonts w:cstheme="minorHAnsi"/>
        </w:rPr>
      </w:pPr>
    </w:p>
    <w:p w14:paraId="7245544F" w14:textId="0FC14A40" w:rsidR="001803A2" w:rsidRPr="00ED5869" w:rsidRDefault="004A00F9" w:rsidP="001803A2">
      <w:pPr>
        <w:spacing w:after="0"/>
        <w:ind w:right="80"/>
        <w:rPr>
          <w:rFonts w:cstheme="minorHAnsi"/>
        </w:rPr>
      </w:pPr>
      <w:r>
        <w:rPr>
          <w:rFonts w:cstheme="minorHAnsi"/>
        </w:rPr>
        <w:t>You</w:t>
      </w:r>
      <w:r w:rsidR="001803A2" w:rsidRPr="00ED5869">
        <w:rPr>
          <w:rFonts w:cstheme="minorHAnsi"/>
        </w:rPr>
        <w:t xml:space="preserve"> can </w:t>
      </w:r>
      <w:r>
        <w:rPr>
          <w:rFonts w:cstheme="minorHAnsi"/>
        </w:rPr>
        <w:t xml:space="preserve">also </w:t>
      </w:r>
      <w:r w:rsidR="001803A2" w:rsidRPr="004A00F9">
        <w:rPr>
          <w:rFonts w:cstheme="minorHAnsi"/>
        </w:rPr>
        <w:t xml:space="preserve">select </w:t>
      </w:r>
      <w:r w:rsidR="001803A2" w:rsidRPr="004A00F9">
        <w:rPr>
          <w:rFonts w:cstheme="minorHAnsi"/>
          <w:u w:val="single" w:color="000000"/>
        </w:rPr>
        <w:t>Load from FDIC</w:t>
      </w:r>
      <w:r>
        <w:rPr>
          <w:rFonts w:cstheme="minorHAnsi"/>
        </w:rPr>
        <w:t xml:space="preserve"> to retrieve your data from the FFIEC site, approximately 24 hours after filing.</w:t>
      </w:r>
      <w:r w:rsidR="001803A2" w:rsidRPr="00ED5869">
        <w:rPr>
          <w:rFonts w:cstheme="minorHAnsi"/>
        </w:rPr>
        <w:t xml:space="preserve"> This will pull your data directly and populate your RiskGPS</w:t>
      </w:r>
      <w:r>
        <w:rPr>
          <w:rFonts w:cstheme="minorHAnsi"/>
        </w:rPr>
        <w:t xml:space="preserve"> system</w:t>
      </w:r>
      <w:r w:rsidR="001803A2" w:rsidRPr="00ED5869">
        <w:rPr>
          <w:rFonts w:cstheme="minorHAnsi"/>
        </w:rPr>
        <w:t>.</w:t>
      </w:r>
    </w:p>
    <w:p w14:paraId="68C04F83" w14:textId="77777777" w:rsidR="001803A2" w:rsidRPr="00ED5869" w:rsidRDefault="001803A2" w:rsidP="001803A2">
      <w:pPr>
        <w:spacing w:after="0"/>
        <w:ind w:right="80"/>
        <w:rPr>
          <w:rFonts w:cstheme="minorHAnsi"/>
        </w:rPr>
      </w:pPr>
    </w:p>
    <w:p w14:paraId="34B73553" w14:textId="1436D70B" w:rsidR="001803A2" w:rsidRPr="00ED5869" w:rsidRDefault="001803A2" w:rsidP="001803A2">
      <w:pPr>
        <w:spacing w:after="0"/>
        <w:ind w:right="80"/>
        <w:rPr>
          <w:rFonts w:cstheme="minorHAnsi"/>
        </w:rPr>
      </w:pPr>
      <w:r w:rsidRPr="00ED5869">
        <w:rPr>
          <w:rFonts w:cstheme="minorHAnsi"/>
        </w:rPr>
        <w:t xml:space="preserve">In the event you have updated for the current quarter but have not saved the data from the previous quarter’s report, there is a </w:t>
      </w:r>
      <w:r w:rsidRPr="00ED5869">
        <w:rPr>
          <w:rFonts w:cstheme="minorHAnsi"/>
          <w:u w:val="single" w:color="000000"/>
        </w:rPr>
        <w:t>Rollback</w:t>
      </w:r>
      <w:r w:rsidRPr="00ED5869">
        <w:rPr>
          <w:rFonts w:cstheme="minorHAnsi"/>
        </w:rPr>
        <w:t xml:space="preserve"> feature. Here you can </w:t>
      </w:r>
      <w:r w:rsidR="004A00F9">
        <w:rPr>
          <w:rFonts w:cstheme="minorHAnsi"/>
        </w:rPr>
        <w:t>roll back</w:t>
      </w:r>
      <w:r w:rsidRPr="00ED5869">
        <w:rPr>
          <w:rFonts w:cstheme="minorHAnsi"/>
        </w:rPr>
        <w:t xml:space="preserve"> to the previous quarter, print your report and save your PDF to your PC or network, then reload your current quarter data. This option only lasts for a limited time</w:t>
      </w:r>
      <w:r w:rsidR="004A00F9">
        <w:rPr>
          <w:rFonts w:cstheme="minorHAnsi"/>
        </w:rPr>
        <w:t>,</w:t>
      </w:r>
      <w:r w:rsidRPr="00ED5869">
        <w:rPr>
          <w:rFonts w:cstheme="minorHAnsi"/>
        </w:rPr>
        <w:t xml:space="preserve"> until RiskGPS uploads the most recent quarter for all banks.</w:t>
      </w:r>
    </w:p>
    <w:p w14:paraId="20D52E20" w14:textId="77777777" w:rsidR="001803A2" w:rsidRPr="00ED5869" w:rsidRDefault="001803A2" w:rsidP="001803A2">
      <w:pPr>
        <w:spacing w:after="0"/>
        <w:ind w:right="80"/>
        <w:rPr>
          <w:rFonts w:cstheme="minorHAnsi"/>
        </w:rPr>
      </w:pPr>
    </w:p>
    <w:p w14:paraId="16C0E3C7" w14:textId="77777777" w:rsidR="004A00F9" w:rsidRDefault="004A00F9" w:rsidP="001803A2">
      <w:pPr>
        <w:spacing w:after="0"/>
        <w:ind w:right="80"/>
        <w:rPr>
          <w:rFonts w:cstheme="minorHAnsi"/>
          <w:b/>
          <w:bCs/>
        </w:rPr>
      </w:pPr>
    </w:p>
    <w:p w14:paraId="2D574F67" w14:textId="18ABF695" w:rsidR="001803A2" w:rsidRPr="004A00F9" w:rsidRDefault="00234983" w:rsidP="001803A2">
      <w:pPr>
        <w:spacing w:after="0"/>
        <w:ind w:right="80"/>
        <w:rPr>
          <w:rFonts w:cstheme="minorHAnsi"/>
          <w:b/>
          <w:bCs/>
        </w:rPr>
      </w:pPr>
      <w:r>
        <w:rPr>
          <w:rFonts w:cstheme="minorHAnsi"/>
          <w:b/>
          <w:bCs/>
        </w:rPr>
        <w:t>PRINTING</w:t>
      </w:r>
    </w:p>
    <w:p w14:paraId="24729FEA" w14:textId="4ED51211" w:rsidR="001803A2" w:rsidRPr="00ED5869" w:rsidRDefault="004A00F9" w:rsidP="001803A2">
      <w:pPr>
        <w:spacing w:after="0"/>
        <w:ind w:right="80"/>
        <w:rPr>
          <w:rFonts w:cstheme="minorHAnsi"/>
        </w:rPr>
      </w:pPr>
      <w:r>
        <w:rPr>
          <w:rFonts w:cstheme="minorHAnsi"/>
        </w:rPr>
        <w:t xml:space="preserve">To </w:t>
      </w:r>
      <w:r w:rsidR="001803A2" w:rsidRPr="00ED5869">
        <w:rPr>
          <w:rFonts w:cstheme="minorHAnsi"/>
        </w:rPr>
        <w:t>print, follow these steps:</w:t>
      </w:r>
    </w:p>
    <w:p w14:paraId="5C6D8C47" w14:textId="77777777" w:rsidR="001803A2" w:rsidRPr="00ED5869" w:rsidRDefault="001803A2" w:rsidP="001803A2">
      <w:pPr>
        <w:pStyle w:val="ListParagraph"/>
        <w:numPr>
          <w:ilvl w:val="0"/>
          <w:numId w:val="29"/>
        </w:numPr>
        <w:spacing w:after="0"/>
        <w:ind w:right="80"/>
        <w:rPr>
          <w:rFonts w:cstheme="minorHAnsi"/>
        </w:rPr>
      </w:pPr>
      <w:r w:rsidRPr="00ED5869">
        <w:rPr>
          <w:rFonts w:cstheme="minorHAnsi"/>
        </w:rPr>
        <w:t>Click ‘Export to PDF’</w:t>
      </w:r>
    </w:p>
    <w:p w14:paraId="71AB6970" w14:textId="77777777" w:rsidR="001803A2" w:rsidRPr="00ED5869" w:rsidRDefault="001803A2" w:rsidP="001803A2">
      <w:pPr>
        <w:pStyle w:val="ListParagraph"/>
        <w:numPr>
          <w:ilvl w:val="0"/>
          <w:numId w:val="29"/>
        </w:numPr>
        <w:spacing w:after="0"/>
        <w:ind w:right="80"/>
        <w:rPr>
          <w:rFonts w:cstheme="minorHAnsi"/>
        </w:rPr>
      </w:pPr>
      <w:r w:rsidRPr="00ED5869">
        <w:rPr>
          <w:rFonts w:cstheme="minorHAnsi"/>
        </w:rPr>
        <w:t>Click ‘Generate Report’</w:t>
      </w:r>
    </w:p>
    <w:p w14:paraId="57F8F23C" w14:textId="77777777" w:rsidR="001803A2" w:rsidRPr="00ED5869" w:rsidRDefault="001803A2" w:rsidP="001803A2">
      <w:pPr>
        <w:pStyle w:val="ListParagraph"/>
        <w:numPr>
          <w:ilvl w:val="0"/>
          <w:numId w:val="29"/>
        </w:numPr>
        <w:spacing w:after="0"/>
        <w:ind w:right="80"/>
        <w:rPr>
          <w:rFonts w:cstheme="minorHAnsi"/>
        </w:rPr>
      </w:pPr>
      <w:r w:rsidRPr="00ED5869">
        <w:rPr>
          <w:rFonts w:cstheme="minorHAnsi"/>
        </w:rPr>
        <w:t>Click ‘View PDF Report’</w:t>
      </w:r>
    </w:p>
    <w:p w14:paraId="0471CE14" w14:textId="3D5BD60E" w:rsidR="001803A2" w:rsidRPr="00ED5869" w:rsidRDefault="004A00F9" w:rsidP="001803A2">
      <w:pPr>
        <w:pStyle w:val="ListParagraph"/>
        <w:numPr>
          <w:ilvl w:val="0"/>
          <w:numId w:val="29"/>
        </w:numPr>
        <w:spacing w:after="0"/>
        <w:ind w:right="80"/>
        <w:rPr>
          <w:rFonts w:cstheme="minorHAnsi"/>
        </w:rPr>
      </w:pPr>
      <w:r>
        <w:rPr>
          <w:rFonts w:cstheme="minorHAnsi"/>
        </w:rPr>
        <w:t>Print a copy of the report to your printer or save the file to your PC</w:t>
      </w:r>
    </w:p>
    <w:p w14:paraId="1CFB866C" w14:textId="77777777" w:rsidR="001803A2" w:rsidRPr="00ED5869" w:rsidRDefault="001803A2" w:rsidP="001803A2">
      <w:pPr>
        <w:spacing w:after="0"/>
        <w:ind w:right="80"/>
        <w:rPr>
          <w:rFonts w:cstheme="minorHAnsi"/>
        </w:rPr>
      </w:pPr>
    </w:p>
    <w:p w14:paraId="4C837BAE" w14:textId="77777777" w:rsidR="004A00F9" w:rsidRDefault="004A00F9" w:rsidP="001803A2">
      <w:pPr>
        <w:spacing w:after="0"/>
        <w:ind w:right="80"/>
        <w:rPr>
          <w:rFonts w:cstheme="minorHAnsi"/>
        </w:rPr>
      </w:pPr>
    </w:p>
    <w:p w14:paraId="2C825D72" w14:textId="4CA6539E" w:rsidR="001803A2" w:rsidRPr="00234983" w:rsidRDefault="00234983" w:rsidP="001803A2">
      <w:pPr>
        <w:spacing w:after="0"/>
        <w:ind w:right="80"/>
        <w:rPr>
          <w:rFonts w:cstheme="minorHAnsi"/>
          <w:b/>
          <w:bCs/>
        </w:rPr>
      </w:pPr>
      <w:r>
        <w:rPr>
          <w:rFonts w:cstheme="minorHAnsi"/>
          <w:b/>
          <w:bCs/>
        </w:rPr>
        <w:t>SAMPLE RISKGPS REPORT WITH EXPLANATIONS</w:t>
      </w:r>
    </w:p>
    <w:p w14:paraId="2047A12D" w14:textId="77777777" w:rsidR="001803A2" w:rsidRDefault="001803A2" w:rsidP="001803A2">
      <w:pPr>
        <w:spacing w:after="0"/>
        <w:ind w:right="80"/>
        <w:rPr>
          <w:rFonts w:cstheme="minorHAnsi"/>
        </w:rPr>
      </w:pPr>
      <w:r w:rsidRPr="00ED5869">
        <w:rPr>
          <w:rFonts w:cstheme="minorHAnsi"/>
        </w:rPr>
        <w:t xml:space="preserve">RiskGPS™ offers 4 distinctive sections of financial information and analysis: History, Calculations (Income &amp; Rate Shock of Income and Market Value), Forecast, and Assumptions. End-of-quarter balances are used for these calculations. </w:t>
      </w:r>
    </w:p>
    <w:p w14:paraId="6BF0BCE6" w14:textId="77777777" w:rsidR="004A00F9" w:rsidRPr="00ED5869" w:rsidRDefault="004A00F9" w:rsidP="001803A2">
      <w:pPr>
        <w:spacing w:after="0"/>
        <w:ind w:right="80"/>
        <w:rPr>
          <w:rFonts w:cstheme="minorHAnsi"/>
        </w:rPr>
      </w:pPr>
    </w:p>
    <w:p w14:paraId="0A43248A" w14:textId="38F54882" w:rsidR="004A00F9" w:rsidRPr="00234983" w:rsidRDefault="00234983" w:rsidP="00234983">
      <w:pPr>
        <w:pStyle w:val="ListParagraph"/>
        <w:numPr>
          <w:ilvl w:val="0"/>
          <w:numId w:val="54"/>
        </w:numPr>
        <w:spacing w:after="0"/>
        <w:ind w:left="180" w:right="80" w:hanging="180"/>
        <w:rPr>
          <w:rFonts w:cstheme="minorHAnsi"/>
          <w:b/>
          <w:bCs/>
        </w:rPr>
      </w:pPr>
      <w:r>
        <w:rPr>
          <w:rFonts w:cstheme="minorHAnsi"/>
          <w:b/>
          <w:bCs/>
        </w:rPr>
        <w:t xml:space="preserve"> </w:t>
      </w:r>
      <w:r w:rsidRPr="00234983">
        <w:rPr>
          <w:rFonts w:cstheme="minorHAnsi"/>
          <w:b/>
          <w:bCs/>
        </w:rPr>
        <w:t>HISTORY</w:t>
      </w:r>
    </w:p>
    <w:p w14:paraId="31F3CE96" w14:textId="1CA5769D" w:rsidR="001803A2" w:rsidRPr="004A00F9" w:rsidRDefault="001803A2" w:rsidP="001803A2">
      <w:pPr>
        <w:pStyle w:val="ListParagraph"/>
        <w:numPr>
          <w:ilvl w:val="0"/>
          <w:numId w:val="53"/>
        </w:numPr>
        <w:spacing w:after="0"/>
        <w:ind w:right="80"/>
        <w:rPr>
          <w:rFonts w:cstheme="minorHAnsi"/>
        </w:rPr>
      </w:pPr>
      <w:r w:rsidRPr="004A00F9">
        <w:rPr>
          <w:rFonts w:cstheme="minorHAnsi"/>
        </w:rPr>
        <w:t>Executive Summary</w:t>
      </w:r>
      <w:r w:rsidR="004A00F9">
        <w:rPr>
          <w:rFonts w:cstheme="minorHAnsi"/>
        </w:rPr>
        <w:t>: this is</w:t>
      </w:r>
      <w:r w:rsidRPr="004A00F9">
        <w:rPr>
          <w:rFonts w:cstheme="minorHAnsi"/>
        </w:rPr>
        <w:t xml:space="preserve"> a recap for your board and/or examiners of the inherent risk position to the existing balance sheet for your institution. </w:t>
      </w:r>
    </w:p>
    <w:p w14:paraId="6FB53E72" w14:textId="77777777" w:rsidR="004A00F9" w:rsidRDefault="001803A2" w:rsidP="001803A2">
      <w:pPr>
        <w:pStyle w:val="ListParagraph"/>
        <w:numPr>
          <w:ilvl w:val="0"/>
          <w:numId w:val="53"/>
        </w:numPr>
        <w:spacing w:after="0"/>
        <w:ind w:right="80"/>
        <w:rPr>
          <w:rFonts w:cstheme="minorHAnsi"/>
        </w:rPr>
      </w:pPr>
      <w:r w:rsidRPr="004A00F9">
        <w:rPr>
          <w:rFonts w:cstheme="minorHAnsi"/>
        </w:rPr>
        <w:t>Balance Sheet</w:t>
      </w:r>
      <w:r w:rsidR="004A00F9" w:rsidRPr="004A00F9">
        <w:rPr>
          <w:rFonts w:cstheme="minorHAnsi"/>
        </w:rPr>
        <w:t xml:space="preserve">: your balance sheet data </w:t>
      </w:r>
      <w:r w:rsidRPr="004A00F9">
        <w:rPr>
          <w:rFonts w:cstheme="minorHAnsi"/>
        </w:rPr>
        <w:t>is taken directly from Schedule RC from the Call Report. These are End-of-Quarter Balances.</w:t>
      </w:r>
    </w:p>
    <w:p w14:paraId="4CA112DE" w14:textId="77777777" w:rsidR="004A00F9" w:rsidRDefault="001803A2" w:rsidP="001803A2">
      <w:pPr>
        <w:pStyle w:val="ListParagraph"/>
        <w:numPr>
          <w:ilvl w:val="0"/>
          <w:numId w:val="53"/>
        </w:numPr>
        <w:spacing w:after="0"/>
        <w:ind w:right="80"/>
        <w:rPr>
          <w:rFonts w:cstheme="minorHAnsi"/>
        </w:rPr>
      </w:pPr>
      <w:r w:rsidRPr="004A00F9">
        <w:rPr>
          <w:rFonts w:cstheme="minorHAnsi"/>
        </w:rPr>
        <w:t>Selected Average Balances</w:t>
      </w:r>
      <w:r w:rsidR="004A00F9" w:rsidRPr="004A00F9">
        <w:rPr>
          <w:rFonts w:cstheme="minorHAnsi"/>
        </w:rPr>
        <w:t>: th</w:t>
      </w:r>
      <w:r w:rsidR="004A00F9">
        <w:rPr>
          <w:rFonts w:cstheme="minorHAnsi"/>
        </w:rPr>
        <w:t>is data i</w:t>
      </w:r>
      <w:r w:rsidRPr="004A00F9">
        <w:rPr>
          <w:rFonts w:cstheme="minorHAnsi"/>
        </w:rPr>
        <w:t>s taken directly from Schedule RC-K of the Call Report</w:t>
      </w:r>
    </w:p>
    <w:p w14:paraId="3C33B252" w14:textId="77777777" w:rsidR="004A00F9" w:rsidRDefault="001803A2" w:rsidP="001803A2">
      <w:pPr>
        <w:pStyle w:val="ListParagraph"/>
        <w:numPr>
          <w:ilvl w:val="0"/>
          <w:numId w:val="53"/>
        </w:numPr>
        <w:spacing w:after="0"/>
        <w:ind w:right="80"/>
        <w:rPr>
          <w:rFonts w:cstheme="minorHAnsi"/>
        </w:rPr>
      </w:pPr>
      <w:r w:rsidRPr="004A00F9">
        <w:rPr>
          <w:rFonts w:cstheme="minorHAnsi"/>
        </w:rPr>
        <w:t>Balance Sheet Mix Analysis</w:t>
      </w:r>
    </w:p>
    <w:p w14:paraId="76374233" w14:textId="77777777" w:rsidR="004A00F9" w:rsidRDefault="001803A2" w:rsidP="001803A2">
      <w:pPr>
        <w:pStyle w:val="ListParagraph"/>
        <w:numPr>
          <w:ilvl w:val="0"/>
          <w:numId w:val="53"/>
        </w:numPr>
        <w:spacing w:after="0"/>
        <w:ind w:right="80"/>
        <w:rPr>
          <w:rFonts w:cstheme="minorHAnsi"/>
        </w:rPr>
      </w:pPr>
      <w:r w:rsidRPr="004A00F9">
        <w:rPr>
          <w:rFonts w:cstheme="minorHAnsi"/>
        </w:rPr>
        <w:t>Income Statement</w:t>
      </w:r>
      <w:r w:rsidR="004A00F9" w:rsidRPr="004A00F9">
        <w:rPr>
          <w:rFonts w:cstheme="minorHAnsi"/>
        </w:rPr>
        <w:t xml:space="preserve">: </w:t>
      </w:r>
      <w:r w:rsidR="004A00F9">
        <w:rPr>
          <w:rFonts w:cstheme="minorHAnsi"/>
        </w:rPr>
        <w:t>i</w:t>
      </w:r>
      <w:r w:rsidRPr="004A00F9">
        <w:rPr>
          <w:rFonts w:cstheme="minorHAnsi"/>
        </w:rPr>
        <w:t>ncome is presented for each quarter. The model takes the current quarter</w:t>
      </w:r>
      <w:r w:rsidR="004A00F9">
        <w:rPr>
          <w:rFonts w:cstheme="minorHAnsi"/>
        </w:rPr>
        <w:t>’</w:t>
      </w:r>
      <w:r w:rsidRPr="004A00F9">
        <w:rPr>
          <w:rFonts w:cstheme="minorHAnsi"/>
        </w:rPr>
        <w:t>s Schedule RI from the Call Report, which is YTD, and subtracts the prior quarter(s) from the same calendar year to arrive at the current quarter numbers.</w:t>
      </w:r>
    </w:p>
    <w:p w14:paraId="2603BE6A" w14:textId="39553B84" w:rsidR="001803A2" w:rsidRPr="004A00F9" w:rsidRDefault="001803A2" w:rsidP="00766F81">
      <w:pPr>
        <w:pStyle w:val="ListParagraph"/>
        <w:numPr>
          <w:ilvl w:val="0"/>
          <w:numId w:val="53"/>
        </w:numPr>
        <w:spacing w:after="0"/>
        <w:ind w:right="80"/>
        <w:rPr>
          <w:rFonts w:cstheme="minorHAnsi"/>
        </w:rPr>
      </w:pPr>
      <w:r w:rsidRPr="004A00F9">
        <w:rPr>
          <w:rFonts w:cstheme="minorHAnsi"/>
        </w:rPr>
        <w:t>Yields &amp; Costs</w:t>
      </w:r>
      <w:r w:rsidR="004A00F9" w:rsidRPr="004A00F9">
        <w:rPr>
          <w:rFonts w:cstheme="minorHAnsi"/>
        </w:rPr>
        <w:t xml:space="preserve">: these are </w:t>
      </w:r>
      <w:r w:rsidRPr="004A00F9">
        <w:rPr>
          <w:rFonts w:cstheme="minorHAnsi"/>
        </w:rPr>
        <w:t>calculated using the quarterly Average Balances reported in the Call Report and quarterly Interest Income/Expense data</w:t>
      </w:r>
    </w:p>
    <w:p w14:paraId="78ACAA5E" w14:textId="77777777" w:rsidR="001803A2" w:rsidRPr="00ED5869" w:rsidRDefault="001803A2" w:rsidP="001803A2">
      <w:pPr>
        <w:spacing w:after="0"/>
        <w:ind w:right="80"/>
        <w:rPr>
          <w:rFonts w:cstheme="minorHAnsi"/>
        </w:rPr>
      </w:pPr>
    </w:p>
    <w:p w14:paraId="1310CB64" w14:textId="77777777" w:rsidR="001803A2" w:rsidRDefault="001803A2" w:rsidP="004A00F9">
      <w:pPr>
        <w:spacing w:after="0"/>
        <w:ind w:right="80" w:firstLine="360"/>
        <w:rPr>
          <w:rFonts w:cstheme="minorHAnsi"/>
        </w:rPr>
      </w:pPr>
      <w:r w:rsidRPr="00ED5869">
        <w:rPr>
          <w:rFonts w:cstheme="minorHAnsi"/>
        </w:rPr>
        <w:t>This data is used to calculate the zero point on the Rate Shock of Income.</w:t>
      </w:r>
    </w:p>
    <w:p w14:paraId="10C2A522" w14:textId="77777777" w:rsidR="004A00F9" w:rsidRPr="00ED5869" w:rsidRDefault="004A00F9" w:rsidP="001803A2">
      <w:pPr>
        <w:spacing w:after="0"/>
        <w:ind w:right="80"/>
        <w:rPr>
          <w:rFonts w:cstheme="minorHAnsi"/>
        </w:rPr>
      </w:pPr>
    </w:p>
    <w:p w14:paraId="655F0E31" w14:textId="480DDFE0" w:rsidR="001803A2" w:rsidRPr="004A00F9" w:rsidRDefault="001803A2" w:rsidP="004A00F9">
      <w:pPr>
        <w:pStyle w:val="ListParagraph"/>
        <w:numPr>
          <w:ilvl w:val="0"/>
          <w:numId w:val="53"/>
        </w:numPr>
        <w:spacing w:after="0"/>
        <w:ind w:right="80"/>
        <w:rPr>
          <w:rFonts w:cstheme="minorHAnsi"/>
        </w:rPr>
      </w:pPr>
      <w:r w:rsidRPr="004A00F9">
        <w:rPr>
          <w:rFonts w:cstheme="minorHAnsi"/>
        </w:rPr>
        <w:lastRenderedPageBreak/>
        <w:t>Performance History</w:t>
      </w:r>
    </w:p>
    <w:p w14:paraId="0AB06610" w14:textId="77777777" w:rsidR="001803A2" w:rsidRPr="00ED5869" w:rsidRDefault="001803A2" w:rsidP="001803A2">
      <w:pPr>
        <w:spacing w:after="0"/>
        <w:ind w:right="80"/>
        <w:rPr>
          <w:rFonts w:cstheme="minorHAnsi"/>
        </w:rPr>
      </w:pPr>
    </w:p>
    <w:p w14:paraId="74DCB13B" w14:textId="4156C5F6" w:rsidR="004A00F9" w:rsidRPr="00234983" w:rsidRDefault="00234983" w:rsidP="00234983">
      <w:pPr>
        <w:pStyle w:val="ListParagraph"/>
        <w:numPr>
          <w:ilvl w:val="0"/>
          <w:numId w:val="54"/>
        </w:numPr>
        <w:spacing w:after="0"/>
        <w:ind w:left="180" w:right="86" w:hanging="180"/>
        <w:rPr>
          <w:rFonts w:cstheme="minorHAnsi"/>
          <w:b/>
          <w:bCs/>
        </w:rPr>
      </w:pPr>
      <w:r>
        <w:rPr>
          <w:rFonts w:cstheme="minorHAnsi"/>
          <w:b/>
          <w:bCs/>
        </w:rPr>
        <w:t xml:space="preserve"> </w:t>
      </w:r>
      <w:r w:rsidRPr="00234983">
        <w:rPr>
          <w:rFonts w:cstheme="minorHAnsi"/>
          <w:b/>
          <w:bCs/>
        </w:rPr>
        <w:t>CALCULATIONS</w:t>
      </w:r>
    </w:p>
    <w:p w14:paraId="592A2994" w14:textId="77777777" w:rsidR="004A00F9" w:rsidRDefault="004A00F9" w:rsidP="004A00F9">
      <w:pPr>
        <w:spacing w:after="0"/>
        <w:ind w:left="360" w:right="86"/>
        <w:rPr>
          <w:rFonts w:cstheme="minorHAnsi"/>
          <w:b/>
          <w:bCs/>
        </w:rPr>
      </w:pPr>
    </w:p>
    <w:p w14:paraId="2C483BBF" w14:textId="2439D196" w:rsidR="001803A2" w:rsidRPr="004A00F9" w:rsidRDefault="001803A2" w:rsidP="004A00F9">
      <w:pPr>
        <w:spacing w:after="0"/>
        <w:ind w:left="360" w:right="86" w:hanging="360"/>
        <w:rPr>
          <w:rFonts w:cstheme="minorHAnsi"/>
          <w:b/>
          <w:bCs/>
        </w:rPr>
      </w:pPr>
      <w:r w:rsidRPr="004A00F9">
        <w:rPr>
          <w:rFonts w:cstheme="minorHAnsi"/>
          <w:b/>
          <w:bCs/>
        </w:rPr>
        <w:t>Margin Risk Tolerance</w:t>
      </w:r>
    </w:p>
    <w:p w14:paraId="70A75766" w14:textId="2A04483C" w:rsidR="001803A2" w:rsidRPr="00ED5869" w:rsidRDefault="001803A2" w:rsidP="001803A2">
      <w:pPr>
        <w:spacing w:after="0"/>
        <w:ind w:right="80"/>
        <w:rPr>
          <w:rFonts w:cstheme="minorHAnsi"/>
        </w:rPr>
      </w:pPr>
      <w:r w:rsidRPr="00ED5869">
        <w:rPr>
          <w:rFonts w:cstheme="minorHAnsi"/>
        </w:rPr>
        <w:t>Margin Risk Tolerance is the ability to take potential losses to capital while still maintaining a ratio above the minimum capital level.</w:t>
      </w:r>
      <w:r w:rsidR="004A00F9">
        <w:rPr>
          <w:rFonts w:cstheme="minorHAnsi"/>
        </w:rPr>
        <w:t xml:space="preserve"> </w:t>
      </w:r>
      <w:r w:rsidRPr="00ED5869">
        <w:rPr>
          <w:rFonts w:cstheme="minorHAnsi"/>
        </w:rPr>
        <w:t>Risk Tolerance is calculated by adding the minimum required earnings to meet capital and dividends and Other Expenses assumed by the bank for the coming year and subtracting the total from the Current Margin under flat rates applied to new Average Assets.</w:t>
      </w:r>
    </w:p>
    <w:p w14:paraId="5ED0D3D9" w14:textId="77777777" w:rsidR="001803A2" w:rsidRPr="00ED5869" w:rsidRDefault="001803A2" w:rsidP="001803A2">
      <w:pPr>
        <w:spacing w:after="0"/>
        <w:ind w:right="80"/>
        <w:rPr>
          <w:rFonts w:cstheme="minorHAnsi"/>
        </w:rPr>
      </w:pPr>
    </w:p>
    <w:p w14:paraId="0C5C05F9" w14:textId="1562E219" w:rsidR="001803A2" w:rsidRPr="004A00F9" w:rsidRDefault="001803A2" w:rsidP="001803A2">
      <w:pPr>
        <w:spacing w:after="0"/>
        <w:ind w:right="80"/>
        <w:rPr>
          <w:rFonts w:cstheme="minorHAnsi"/>
          <w:b/>
          <w:bCs/>
        </w:rPr>
      </w:pPr>
      <w:r w:rsidRPr="004A00F9">
        <w:rPr>
          <w:rFonts w:cstheme="minorHAnsi"/>
          <w:b/>
          <w:bCs/>
        </w:rPr>
        <w:t>Rate Sensitivity of Non-Maturing Balances &amp; Betas</w:t>
      </w:r>
    </w:p>
    <w:p w14:paraId="425CF8C5" w14:textId="4DC8260D" w:rsidR="001803A2" w:rsidRPr="00ED5869" w:rsidRDefault="001803A2" w:rsidP="001803A2">
      <w:pPr>
        <w:spacing w:after="0"/>
        <w:ind w:right="80"/>
        <w:rPr>
          <w:rFonts w:cstheme="minorHAnsi"/>
        </w:rPr>
      </w:pPr>
      <w:r w:rsidRPr="00ED5869">
        <w:rPr>
          <w:rFonts w:cstheme="minorHAnsi"/>
        </w:rPr>
        <w:t>Betas have three major uses for this Risk Analysis: Gap, Rate Shock, and calculation of Decay Terms.</w:t>
      </w:r>
      <w:r w:rsidR="004A00F9">
        <w:rPr>
          <w:rFonts w:cstheme="minorHAnsi"/>
        </w:rPr>
        <w:t xml:space="preserve"> </w:t>
      </w:r>
      <w:r w:rsidRPr="00ED5869">
        <w:rPr>
          <w:rFonts w:cstheme="minorHAnsi"/>
        </w:rPr>
        <w:t>Beta</w:t>
      </w:r>
      <w:r w:rsidR="004A00F9">
        <w:rPr>
          <w:rFonts w:cstheme="minorHAnsi"/>
        </w:rPr>
        <w:t>s</w:t>
      </w:r>
      <w:r w:rsidRPr="00ED5869">
        <w:rPr>
          <w:rFonts w:cstheme="minorHAnsi"/>
        </w:rPr>
        <w:t xml:space="preserve"> represent a percentage of change in the bank’s interest rate for every 1.00% change in yield curve rates. As deposit products act differently to rate changes, review and adjust, </w:t>
      </w:r>
      <w:r w:rsidR="004A00F9">
        <w:rPr>
          <w:rFonts w:cstheme="minorHAnsi"/>
        </w:rPr>
        <w:t>as</w:t>
      </w:r>
      <w:r w:rsidRPr="00ED5869">
        <w:rPr>
          <w:rFonts w:cstheme="minorHAnsi"/>
        </w:rPr>
        <w:t xml:space="preserve"> needed, the estimated Beta Values.</w:t>
      </w:r>
    </w:p>
    <w:p w14:paraId="0B3890DE" w14:textId="77777777" w:rsidR="001803A2" w:rsidRPr="00ED5869" w:rsidRDefault="001803A2" w:rsidP="001803A2">
      <w:pPr>
        <w:spacing w:after="0"/>
        <w:ind w:right="80"/>
        <w:rPr>
          <w:rFonts w:cstheme="minorHAnsi"/>
        </w:rPr>
      </w:pPr>
    </w:p>
    <w:p w14:paraId="141A56AA" w14:textId="4CE7849B" w:rsidR="001803A2" w:rsidRPr="004A00F9" w:rsidRDefault="001803A2" w:rsidP="001803A2">
      <w:pPr>
        <w:spacing w:after="0"/>
        <w:ind w:right="80"/>
        <w:rPr>
          <w:rFonts w:cstheme="minorHAnsi"/>
          <w:b/>
          <w:bCs/>
        </w:rPr>
      </w:pPr>
      <w:r w:rsidRPr="004A00F9">
        <w:rPr>
          <w:rFonts w:cstheme="minorHAnsi"/>
          <w:b/>
          <w:bCs/>
        </w:rPr>
        <w:t xml:space="preserve">Rate Sensitivity Gap Report </w:t>
      </w:r>
    </w:p>
    <w:p w14:paraId="517B6C35" w14:textId="77777777" w:rsidR="001803A2" w:rsidRPr="00ED5869" w:rsidRDefault="001803A2" w:rsidP="001803A2">
      <w:pPr>
        <w:spacing w:after="0"/>
        <w:ind w:right="80"/>
        <w:rPr>
          <w:rFonts w:cstheme="minorHAnsi"/>
        </w:rPr>
      </w:pPr>
      <w:r w:rsidRPr="00ED5869">
        <w:rPr>
          <w:rFonts w:cstheme="minorHAnsi"/>
        </w:rPr>
        <w:t>If the sum of the balances from the maturity data above does not equal the balances on the Balance Sheet, then the program will put the difference into the &gt;15-year bucket. Typically, these differences are due to non-performing loans or other   investment securities without maturities that must be accounted for later in the market value calculation. Non Accruals are not included in Gap nor are they used in the Rate Shock of Net Interest Margin.</w:t>
      </w:r>
    </w:p>
    <w:p w14:paraId="06F30CCB" w14:textId="77777777" w:rsidR="001803A2" w:rsidRPr="00ED5869" w:rsidRDefault="001803A2" w:rsidP="001803A2">
      <w:pPr>
        <w:spacing w:after="0"/>
        <w:ind w:right="80"/>
        <w:rPr>
          <w:rFonts w:cstheme="minorHAnsi"/>
        </w:rPr>
      </w:pPr>
    </w:p>
    <w:p w14:paraId="49E6EE7B" w14:textId="372FDF6C" w:rsidR="001803A2" w:rsidRPr="00ED5869" w:rsidRDefault="001803A2" w:rsidP="001803A2">
      <w:pPr>
        <w:spacing w:after="0"/>
        <w:ind w:right="80"/>
        <w:rPr>
          <w:rFonts w:cstheme="minorHAnsi"/>
        </w:rPr>
      </w:pPr>
      <w:r w:rsidRPr="004A00F9">
        <w:rPr>
          <w:rFonts w:cstheme="minorHAnsi"/>
          <w:b/>
          <w:bCs/>
        </w:rPr>
        <w:t>GAP</w:t>
      </w:r>
      <w:r w:rsidR="004A00F9">
        <w:rPr>
          <w:rFonts w:cstheme="minorHAnsi"/>
        </w:rPr>
        <w:t xml:space="preserve"> </w:t>
      </w:r>
      <w:r w:rsidRPr="00ED5869">
        <w:rPr>
          <w:rFonts w:cstheme="minorHAnsi"/>
        </w:rPr>
        <w:t xml:space="preserve">can be viewed </w:t>
      </w:r>
      <w:proofErr w:type="gramStart"/>
      <w:r w:rsidRPr="00ED5869">
        <w:rPr>
          <w:rFonts w:cstheme="minorHAnsi"/>
        </w:rPr>
        <w:t>on</w:t>
      </w:r>
      <w:proofErr w:type="gramEnd"/>
      <w:r w:rsidRPr="00ED5869">
        <w:rPr>
          <w:rFonts w:cstheme="minorHAnsi"/>
        </w:rPr>
        <w:t xml:space="preserve"> the top portion of the Risk</w:t>
      </w:r>
      <w:r w:rsidR="004A00F9">
        <w:rPr>
          <w:rFonts w:cstheme="minorHAnsi"/>
        </w:rPr>
        <w:t xml:space="preserve"> Sensitivity </w:t>
      </w:r>
      <w:r w:rsidRPr="00ED5869">
        <w:rPr>
          <w:rFonts w:cstheme="minorHAnsi"/>
        </w:rPr>
        <w:t xml:space="preserve">Gap </w:t>
      </w:r>
      <w:r w:rsidR="004A00F9">
        <w:rPr>
          <w:rFonts w:cstheme="minorHAnsi"/>
        </w:rPr>
        <w:t>R</w:t>
      </w:r>
      <w:r w:rsidRPr="00ED5869">
        <w:rPr>
          <w:rFonts w:cstheme="minorHAnsi"/>
        </w:rPr>
        <w:t xml:space="preserve">eport. If all assumptions and adjustments to the bank information were turned off, RiskGPS would be identical to your Call Report information. Assumptions allow </w:t>
      </w:r>
      <w:r w:rsidR="004A00F9">
        <w:rPr>
          <w:rFonts w:cstheme="minorHAnsi"/>
        </w:rPr>
        <w:t>you</w:t>
      </w:r>
      <w:r w:rsidRPr="00ED5869">
        <w:rPr>
          <w:rFonts w:cstheme="minorHAnsi"/>
        </w:rPr>
        <w:t xml:space="preserve"> to modify the information </w:t>
      </w:r>
      <w:r w:rsidR="004A00F9" w:rsidRPr="00ED5869">
        <w:rPr>
          <w:rFonts w:cstheme="minorHAnsi"/>
        </w:rPr>
        <w:t>to</w:t>
      </w:r>
      <w:r w:rsidRPr="00ED5869">
        <w:rPr>
          <w:rFonts w:cstheme="minorHAnsi"/>
        </w:rPr>
        <w:t xml:space="preserve"> capture a more realistic rate risk environment.</w:t>
      </w:r>
    </w:p>
    <w:p w14:paraId="3B57B156" w14:textId="77777777" w:rsidR="001803A2" w:rsidRPr="00ED5869" w:rsidRDefault="001803A2" w:rsidP="001803A2">
      <w:pPr>
        <w:spacing w:after="0"/>
        <w:ind w:right="86"/>
        <w:rPr>
          <w:rFonts w:cstheme="minorHAnsi"/>
        </w:rPr>
      </w:pPr>
    </w:p>
    <w:p w14:paraId="17B78089" w14:textId="511163FB" w:rsidR="001803A2" w:rsidRPr="00ED5869" w:rsidRDefault="001803A2" w:rsidP="001803A2">
      <w:pPr>
        <w:spacing w:after="0"/>
        <w:ind w:right="80"/>
        <w:rPr>
          <w:rFonts w:cstheme="minorHAnsi"/>
        </w:rPr>
      </w:pPr>
      <w:r w:rsidRPr="004A00F9">
        <w:rPr>
          <w:rFonts w:cstheme="minorHAnsi"/>
          <w:b/>
          <w:bCs/>
        </w:rPr>
        <w:t>Time-Weighted 12-month Gap</w:t>
      </w:r>
      <w:r w:rsidRPr="00ED5869">
        <w:rPr>
          <w:rFonts w:cstheme="minorHAnsi"/>
        </w:rPr>
        <w:t xml:space="preserve"> weights the report buckets according to their ability to reprice. The Floating bucket would be weighted at 100% as it is available over the entire 12-month period, the 1-3-month bucket at 83%, and the 3-12 month at 37.5%.</w:t>
      </w:r>
      <w:r w:rsidR="004A00F9">
        <w:rPr>
          <w:rFonts w:cstheme="minorHAnsi"/>
        </w:rPr>
        <w:t xml:space="preserve"> </w:t>
      </w:r>
      <w:r w:rsidRPr="00ED5869">
        <w:rPr>
          <w:rFonts w:cstheme="minorHAnsi"/>
        </w:rPr>
        <w:t xml:space="preserve">Note: Loan, Security and Deposit Assumptions have a direct impact on how balances are distributed in </w:t>
      </w:r>
      <w:r w:rsidR="004A00F9" w:rsidRPr="00ED5869">
        <w:rPr>
          <w:rFonts w:cstheme="minorHAnsi"/>
        </w:rPr>
        <w:t>each</w:t>
      </w:r>
      <w:r w:rsidRPr="00ED5869">
        <w:rPr>
          <w:rFonts w:cstheme="minorHAnsi"/>
        </w:rPr>
        <w:t xml:space="preserve"> bucket.</w:t>
      </w:r>
    </w:p>
    <w:p w14:paraId="75CAB326" w14:textId="77777777" w:rsidR="001803A2" w:rsidRPr="00ED5869" w:rsidRDefault="001803A2" w:rsidP="001803A2">
      <w:pPr>
        <w:spacing w:after="0"/>
        <w:ind w:right="80"/>
        <w:rPr>
          <w:rFonts w:cstheme="minorHAnsi"/>
        </w:rPr>
      </w:pPr>
    </w:p>
    <w:p w14:paraId="7C47BF86" w14:textId="4485529F" w:rsidR="001803A2" w:rsidRPr="004A00F9" w:rsidRDefault="001803A2" w:rsidP="001803A2">
      <w:pPr>
        <w:spacing w:after="0"/>
        <w:ind w:right="80"/>
        <w:rPr>
          <w:rFonts w:cstheme="minorHAnsi"/>
          <w:b/>
          <w:bCs/>
        </w:rPr>
      </w:pPr>
      <w:r w:rsidRPr="004A00F9">
        <w:rPr>
          <w:rFonts w:cstheme="minorHAnsi"/>
          <w:b/>
          <w:bCs/>
        </w:rPr>
        <w:t>Net Interest Margin Simulation</w:t>
      </w:r>
    </w:p>
    <w:p w14:paraId="5C425DEE" w14:textId="62AE09D4" w:rsidR="001803A2" w:rsidRPr="00ED5869" w:rsidRDefault="001803A2" w:rsidP="001803A2">
      <w:pPr>
        <w:spacing w:after="0"/>
        <w:ind w:right="80"/>
        <w:rPr>
          <w:rFonts w:cstheme="minorHAnsi"/>
        </w:rPr>
      </w:pPr>
      <w:r w:rsidRPr="00ED5869">
        <w:rPr>
          <w:rFonts w:cstheme="minorHAnsi"/>
        </w:rPr>
        <w:t>The Minimum Margin (FTE), represented in the ‘Rate Shocked Margin vs Minimum Margin’ graph by a red box, can be found on the Risk Tolerance Report.</w:t>
      </w:r>
      <w:r w:rsidR="004A00F9">
        <w:rPr>
          <w:rFonts w:cstheme="minorHAnsi"/>
        </w:rPr>
        <w:t xml:space="preserve"> </w:t>
      </w:r>
      <w:r w:rsidRPr="00ED5869">
        <w:rPr>
          <w:rFonts w:cstheme="minorHAnsi"/>
        </w:rPr>
        <w:t>Shocked Margin (FTE) values, shown as yellow triangles in the graph, are impacted by Loan, Security, and Deposit assumptions. One recommended industry guideline is that the Percentage of Risk change in margin should not exceed a decline of -10% for every 200bp of shock.</w:t>
      </w:r>
    </w:p>
    <w:p w14:paraId="791A62BA" w14:textId="77777777" w:rsidR="001803A2" w:rsidRPr="00ED5869" w:rsidRDefault="001803A2" w:rsidP="001803A2">
      <w:pPr>
        <w:spacing w:after="0"/>
        <w:ind w:right="80"/>
        <w:rPr>
          <w:rFonts w:cstheme="minorHAnsi"/>
        </w:rPr>
      </w:pPr>
    </w:p>
    <w:p w14:paraId="41CD8018" w14:textId="77D360BA" w:rsidR="001803A2" w:rsidRPr="00ED5869" w:rsidRDefault="004A00F9" w:rsidP="001803A2">
      <w:pPr>
        <w:spacing w:after="0"/>
        <w:ind w:right="80"/>
        <w:rPr>
          <w:rFonts w:cstheme="minorHAnsi"/>
        </w:rPr>
      </w:pPr>
      <w:r w:rsidRPr="00234983">
        <w:rPr>
          <w:rFonts w:cstheme="minorHAnsi"/>
          <w:b/>
          <w:bCs/>
        </w:rPr>
        <w:t>Back-testing</w:t>
      </w:r>
      <w:r>
        <w:rPr>
          <w:rFonts w:cstheme="minorHAnsi"/>
        </w:rPr>
        <w:t>,</w:t>
      </w:r>
      <w:r w:rsidR="001803A2" w:rsidRPr="00ED5869">
        <w:rPr>
          <w:rFonts w:cstheme="minorHAnsi"/>
        </w:rPr>
        <w:t xml:space="preserve"> shown as +/- bp at the bottom of th</w:t>
      </w:r>
      <w:r>
        <w:rPr>
          <w:rFonts w:cstheme="minorHAnsi"/>
        </w:rPr>
        <w:t>e Back-testing R</w:t>
      </w:r>
      <w:r w:rsidR="001803A2" w:rsidRPr="00ED5869">
        <w:rPr>
          <w:rFonts w:cstheme="minorHAnsi"/>
        </w:rPr>
        <w:t xml:space="preserve">eport, is the difference in the projected margin compared to the historical margin. A </w:t>
      </w:r>
      <w:r w:rsidRPr="00ED5869">
        <w:rPr>
          <w:rFonts w:cstheme="minorHAnsi"/>
        </w:rPr>
        <w:t>change of</w:t>
      </w:r>
      <w:r w:rsidR="001803A2" w:rsidRPr="00ED5869">
        <w:rPr>
          <w:rFonts w:cstheme="minorHAnsi"/>
        </w:rPr>
        <w:t xml:space="preserve"> less than 10% is preferable. </w:t>
      </w:r>
      <w:r w:rsidR="001803A2" w:rsidRPr="00ED5869">
        <w:rPr>
          <w:rFonts w:cstheme="minorHAnsi"/>
        </w:rPr>
        <w:lastRenderedPageBreak/>
        <w:t>Subtracting the back-</w:t>
      </w:r>
      <w:r>
        <w:rPr>
          <w:rFonts w:cstheme="minorHAnsi"/>
        </w:rPr>
        <w:t>testing</w:t>
      </w:r>
      <w:r w:rsidR="001803A2" w:rsidRPr="00ED5869">
        <w:rPr>
          <w:rFonts w:cstheme="minorHAnsi"/>
        </w:rPr>
        <w:t xml:space="preserve"> variance from the projected NIM will provide you with a </w:t>
      </w:r>
      <w:proofErr w:type="gramStart"/>
      <w:r w:rsidR="001803A2" w:rsidRPr="00ED5869">
        <w:rPr>
          <w:rFonts w:cstheme="minorHAnsi"/>
        </w:rPr>
        <w:t>worst</w:t>
      </w:r>
      <w:proofErr w:type="gramEnd"/>
      <w:r w:rsidR="001803A2" w:rsidRPr="00ED5869">
        <w:rPr>
          <w:rFonts w:cstheme="minorHAnsi"/>
        </w:rPr>
        <w:t>-case scenario as compared to the calculated minimum margin displayed.</w:t>
      </w:r>
      <w:r>
        <w:rPr>
          <w:rFonts w:cstheme="minorHAnsi"/>
        </w:rPr>
        <w:t xml:space="preserve"> </w:t>
      </w:r>
      <w:r w:rsidR="001803A2" w:rsidRPr="00ED5869">
        <w:rPr>
          <w:rFonts w:cstheme="minorHAnsi"/>
        </w:rPr>
        <w:t>The same recommended industry guideline that applied for Percentage of Risk change in margin on the 1yr Rate Shock also applies to the 2yr Rate Shock; not to exceed a decline of -10% for every 200bp of shock.</w:t>
      </w:r>
    </w:p>
    <w:p w14:paraId="03B80119" w14:textId="77777777" w:rsidR="001803A2" w:rsidRPr="00ED5869" w:rsidRDefault="001803A2" w:rsidP="001803A2">
      <w:pPr>
        <w:spacing w:after="0"/>
        <w:ind w:right="80"/>
        <w:rPr>
          <w:rFonts w:cstheme="minorHAnsi"/>
        </w:rPr>
      </w:pPr>
    </w:p>
    <w:p w14:paraId="450ED088" w14:textId="7F2DF73D" w:rsidR="001803A2" w:rsidRPr="00ED5869" w:rsidRDefault="001803A2" w:rsidP="001803A2">
      <w:pPr>
        <w:spacing w:after="0"/>
        <w:ind w:right="80"/>
        <w:rPr>
          <w:rFonts w:cstheme="minorHAnsi"/>
        </w:rPr>
      </w:pPr>
      <w:r w:rsidRPr="004A00F9">
        <w:rPr>
          <w:rFonts w:cstheme="minorHAnsi"/>
          <w:b/>
          <w:bCs/>
        </w:rPr>
        <w:t>Yield Curve Risk Assessment</w:t>
      </w:r>
    </w:p>
    <w:p w14:paraId="6462D0F0" w14:textId="77777777" w:rsidR="001803A2" w:rsidRPr="00ED5869" w:rsidRDefault="001803A2" w:rsidP="001803A2">
      <w:pPr>
        <w:spacing w:after="0"/>
        <w:ind w:right="80"/>
        <w:rPr>
          <w:rFonts w:cstheme="minorHAnsi"/>
        </w:rPr>
      </w:pPr>
      <w:r w:rsidRPr="00ED5869">
        <w:rPr>
          <w:rFonts w:cstheme="minorHAnsi"/>
        </w:rPr>
        <w:t>Yield Curve Risk Assessment, often referred to as Non-Parallel Yield Curve Shock, is performed by analyzing two major yield curve alternatives, in addition to the traditional Parallel Yield Rate Shock. By creating two variations, long- term rates flat/short-term rates rising, and short-term rates flat/long-term rates falling, the worst-case risk scenario can be examined in one easy to read report.</w:t>
      </w:r>
    </w:p>
    <w:p w14:paraId="3DF677BB" w14:textId="77777777" w:rsidR="001803A2" w:rsidRPr="00ED5869" w:rsidRDefault="001803A2" w:rsidP="001803A2">
      <w:pPr>
        <w:spacing w:after="0"/>
        <w:ind w:right="86"/>
        <w:rPr>
          <w:rFonts w:cstheme="minorHAnsi"/>
        </w:rPr>
      </w:pPr>
    </w:p>
    <w:p w14:paraId="335C1408" w14:textId="2839664D" w:rsidR="001803A2" w:rsidRPr="004A00F9" w:rsidRDefault="001803A2" w:rsidP="001803A2">
      <w:pPr>
        <w:spacing w:after="0"/>
        <w:ind w:right="80"/>
        <w:rPr>
          <w:rFonts w:cstheme="minorHAnsi"/>
          <w:b/>
          <w:bCs/>
        </w:rPr>
      </w:pPr>
      <w:r w:rsidRPr="004A00F9">
        <w:rPr>
          <w:rFonts w:cstheme="minorHAnsi"/>
          <w:b/>
          <w:bCs/>
        </w:rPr>
        <w:t>Rate Shock Economic Value of Equity</w:t>
      </w:r>
    </w:p>
    <w:p w14:paraId="7C423F4A" w14:textId="1FDFB855" w:rsidR="001803A2" w:rsidRPr="00ED5869" w:rsidRDefault="001803A2" w:rsidP="001803A2">
      <w:pPr>
        <w:spacing w:after="0"/>
        <w:ind w:right="80"/>
        <w:rPr>
          <w:rFonts w:cstheme="minorHAnsi"/>
        </w:rPr>
      </w:pPr>
      <w:r w:rsidRPr="00ED5869">
        <w:rPr>
          <w:rFonts w:cstheme="minorHAnsi"/>
          <w:position w:val="-1"/>
          <w:u w:val="single" w:color="000000"/>
        </w:rPr>
        <w:t>Current Value</w:t>
      </w:r>
      <w:r w:rsidRPr="00ED5869">
        <w:rPr>
          <w:rFonts w:cstheme="minorHAnsi"/>
          <w:position w:val="-1"/>
        </w:rPr>
        <w:t>, also known as the zero point, has been marked-to-market from its present value.</w:t>
      </w:r>
      <w:r w:rsidR="004A00F9">
        <w:rPr>
          <w:rFonts w:cstheme="minorHAnsi"/>
        </w:rPr>
        <w:t xml:space="preserve"> </w:t>
      </w:r>
      <w:r w:rsidRPr="00ED5869">
        <w:rPr>
          <w:rFonts w:cstheme="minorHAnsi"/>
        </w:rPr>
        <w:t>A recommended industry guideline is that the maximum change to MVE Risk should not exceed -20% for every 200bp change in rate shock.</w:t>
      </w:r>
    </w:p>
    <w:p w14:paraId="1482FD03" w14:textId="77777777" w:rsidR="001803A2" w:rsidRPr="00ED5869" w:rsidRDefault="001803A2" w:rsidP="001803A2">
      <w:pPr>
        <w:spacing w:after="0"/>
        <w:ind w:right="80"/>
        <w:rPr>
          <w:rFonts w:cstheme="minorHAnsi"/>
        </w:rPr>
      </w:pPr>
    </w:p>
    <w:p w14:paraId="00310AC6" w14:textId="58B754B9" w:rsidR="001803A2" w:rsidRPr="004A00F9" w:rsidRDefault="001803A2" w:rsidP="001803A2">
      <w:pPr>
        <w:spacing w:after="0"/>
        <w:ind w:right="80"/>
        <w:rPr>
          <w:rFonts w:cstheme="minorHAnsi"/>
          <w:b/>
          <w:bCs/>
        </w:rPr>
      </w:pPr>
      <w:r w:rsidRPr="004A00F9">
        <w:rPr>
          <w:rFonts w:cstheme="minorHAnsi"/>
          <w:b/>
          <w:bCs/>
        </w:rPr>
        <w:t>Rate Risk Management Strategy</w:t>
      </w:r>
    </w:p>
    <w:p w14:paraId="78BAD2EA" w14:textId="41F43820" w:rsidR="001803A2" w:rsidRPr="00ED5869" w:rsidRDefault="001803A2" w:rsidP="001803A2">
      <w:pPr>
        <w:spacing w:after="0"/>
        <w:ind w:right="80"/>
        <w:rPr>
          <w:rFonts w:cstheme="minorHAnsi"/>
        </w:rPr>
      </w:pPr>
      <w:r w:rsidRPr="00ED5869">
        <w:rPr>
          <w:rFonts w:cstheme="minorHAnsi"/>
          <w:u w:val="single" w:color="000000"/>
        </w:rPr>
        <w:t>Duration</w:t>
      </w:r>
      <w:r w:rsidRPr="00ED5869">
        <w:rPr>
          <w:rFonts w:cstheme="minorHAnsi"/>
        </w:rPr>
        <w:t xml:space="preserve"> values are affected by the model assumptions. The Margin Duration describes the movement of the bubbles (longer or shorter) and directly affects the Risk/Reward Trade-Off. By changing the assumptions, you can create different What-</w:t>
      </w:r>
      <w:r w:rsidR="004A00F9" w:rsidRPr="00ED5869">
        <w:rPr>
          <w:rFonts w:cstheme="minorHAnsi"/>
        </w:rPr>
        <w:t>ifs and</w:t>
      </w:r>
      <w:r w:rsidRPr="00ED5869">
        <w:rPr>
          <w:rFonts w:cstheme="minorHAnsi"/>
        </w:rPr>
        <w:t xml:space="preserve"> measure those effects on the Risk/Reward Trade-Off.</w:t>
      </w:r>
      <w:r w:rsidR="004A00F9">
        <w:rPr>
          <w:rFonts w:cstheme="minorHAnsi"/>
        </w:rPr>
        <w:t xml:space="preserve"> </w:t>
      </w:r>
      <w:r w:rsidRPr="00ED5869">
        <w:rPr>
          <w:rFonts w:cstheme="minorHAnsi"/>
          <w:u w:val="single" w:color="000000"/>
        </w:rPr>
        <w:t>Risk Reward Trade-Off</w:t>
      </w:r>
      <w:r w:rsidRPr="00ED5869">
        <w:rPr>
          <w:rFonts w:cstheme="minorHAnsi"/>
        </w:rPr>
        <w:t xml:space="preserve"> is calculated by taking the Mismatch Risk Component, divided by the Margin Duration</w:t>
      </w:r>
      <w:r w:rsidR="004A00F9">
        <w:rPr>
          <w:rFonts w:cstheme="minorHAnsi"/>
        </w:rPr>
        <w:t xml:space="preserve">, multiplied by </w:t>
      </w:r>
      <w:r w:rsidRPr="00ED5869">
        <w:rPr>
          <w:rFonts w:cstheme="minorHAnsi"/>
        </w:rPr>
        <w:t>100.</w:t>
      </w:r>
    </w:p>
    <w:p w14:paraId="323A4A81" w14:textId="77777777" w:rsidR="001803A2" w:rsidRPr="00ED5869" w:rsidRDefault="001803A2" w:rsidP="001803A2">
      <w:pPr>
        <w:spacing w:after="0"/>
        <w:ind w:right="80"/>
        <w:rPr>
          <w:rFonts w:cstheme="minorHAnsi"/>
        </w:rPr>
      </w:pPr>
    </w:p>
    <w:p w14:paraId="0148F522" w14:textId="16EB8FDE" w:rsidR="001803A2" w:rsidRPr="00234983" w:rsidRDefault="00234983" w:rsidP="00234983">
      <w:pPr>
        <w:pStyle w:val="ListParagraph"/>
        <w:numPr>
          <w:ilvl w:val="0"/>
          <w:numId w:val="54"/>
        </w:numPr>
        <w:spacing w:after="0"/>
        <w:ind w:left="270" w:right="80" w:hanging="270"/>
        <w:rPr>
          <w:rFonts w:cstheme="minorHAnsi"/>
          <w:b/>
          <w:bCs/>
        </w:rPr>
      </w:pPr>
      <w:r>
        <w:rPr>
          <w:rFonts w:cstheme="minorHAnsi"/>
          <w:b/>
          <w:bCs/>
        </w:rPr>
        <w:t xml:space="preserve"> PERFORMANCE FORECAST</w:t>
      </w:r>
    </w:p>
    <w:p w14:paraId="66F0CAA7" w14:textId="77777777" w:rsidR="001803A2" w:rsidRPr="00ED5869" w:rsidRDefault="001803A2" w:rsidP="001803A2">
      <w:pPr>
        <w:spacing w:after="0"/>
        <w:ind w:right="80"/>
        <w:rPr>
          <w:rFonts w:cstheme="minorHAnsi"/>
        </w:rPr>
      </w:pPr>
      <w:r w:rsidRPr="00ED5869">
        <w:rPr>
          <w:rFonts w:cstheme="minorHAnsi"/>
          <w:u w:val="single" w:color="000000"/>
        </w:rPr>
        <w:t>Weighted Average Rate Change</w:t>
      </w:r>
      <w:r w:rsidRPr="00ED5869">
        <w:rPr>
          <w:rFonts w:cstheme="minorHAnsi"/>
        </w:rPr>
        <w:t xml:space="preserve"> is an important component in the forecasted ratios. The rate is applied to the Rate Shock Margin Simulation to determine where the bank’s margin would be if applying the rate change.</w:t>
      </w:r>
    </w:p>
    <w:p w14:paraId="53BA1806" w14:textId="77777777" w:rsidR="004A00F9" w:rsidRDefault="004A00F9" w:rsidP="001803A2">
      <w:pPr>
        <w:spacing w:after="0"/>
        <w:ind w:right="80"/>
        <w:rPr>
          <w:rFonts w:cstheme="minorHAnsi"/>
        </w:rPr>
      </w:pPr>
    </w:p>
    <w:p w14:paraId="5DB59212" w14:textId="5FECB289" w:rsidR="001803A2" w:rsidRPr="00234983" w:rsidRDefault="00234983" w:rsidP="004A00F9">
      <w:pPr>
        <w:pStyle w:val="ListParagraph"/>
        <w:numPr>
          <w:ilvl w:val="0"/>
          <w:numId w:val="54"/>
        </w:numPr>
        <w:spacing w:after="0"/>
        <w:ind w:left="360" w:right="80" w:hanging="360"/>
        <w:rPr>
          <w:rFonts w:cstheme="minorHAnsi"/>
          <w:b/>
          <w:bCs/>
        </w:rPr>
      </w:pPr>
      <w:r>
        <w:rPr>
          <w:rFonts w:cstheme="minorHAnsi"/>
          <w:b/>
          <w:bCs/>
        </w:rPr>
        <w:t>ASSUMPTIONS</w:t>
      </w:r>
      <w:r w:rsidR="001803A2" w:rsidRPr="00234983">
        <w:rPr>
          <w:rFonts w:cstheme="minorHAnsi"/>
          <w:b/>
          <w:bCs/>
        </w:rPr>
        <w:t xml:space="preserve"> </w:t>
      </w:r>
    </w:p>
    <w:p w14:paraId="3EAE3BED" w14:textId="19B5A744" w:rsidR="001803A2" w:rsidRPr="00ED5869" w:rsidRDefault="001803A2" w:rsidP="00234983">
      <w:pPr>
        <w:spacing w:after="0"/>
        <w:rPr>
          <w:rFonts w:cstheme="minorHAnsi"/>
        </w:rPr>
      </w:pPr>
      <w:r w:rsidRPr="00ED5869">
        <w:rPr>
          <w:rFonts w:cstheme="minorHAnsi"/>
        </w:rPr>
        <w:t>After your initial review of the RiskGPS Analysis, you will want to review and modify the various assumptions. There are five assumption sections: Risk Tolerance, Loans, Securities, Deposits, and Reclassifications.</w:t>
      </w:r>
      <w:r w:rsidR="004A00F9">
        <w:rPr>
          <w:rFonts w:cstheme="minorHAnsi"/>
        </w:rPr>
        <w:t xml:space="preserve"> </w:t>
      </w:r>
      <w:r w:rsidRPr="00ED5869">
        <w:rPr>
          <w:rFonts w:cstheme="minorHAnsi"/>
        </w:rPr>
        <w:t xml:space="preserve">The Call Report is primarily a data-gathering document and not a financial document; therefore, the information must be “prepared’ before it is to be used in analysis. The maturity data in the Call Report is stated as final maturity, or next repricing, which means that the actual cash flows need to be determined. In addition, some portion of the investment portfolio is callable and must be accounted for in </w:t>
      </w:r>
      <w:r w:rsidR="004A00F9" w:rsidRPr="00ED5869">
        <w:rPr>
          <w:rFonts w:cstheme="minorHAnsi"/>
        </w:rPr>
        <w:t>possible</w:t>
      </w:r>
      <w:r w:rsidRPr="00ED5869">
        <w:rPr>
          <w:rFonts w:cstheme="minorHAnsi"/>
        </w:rPr>
        <w:t xml:space="preserve"> cash flows. The assumption section of RiskGPS makes these areas available to you for modification.</w:t>
      </w:r>
    </w:p>
    <w:p w14:paraId="3D3DCCB6" w14:textId="77777777" w:rsidR="001803A2" w:rsidRPr="00ED5869" w:rsidRDefault="001803A2" w:rsidP="001803A2">
      <w:pPr>
        <w:spacing w:after="0"/>
        <w:ind w:right="86"/>
        <w:rPr>
          <w:rFonts w:cstheme="minorHAnsi"/>
        </w:rPr>
      </w:pPr>
    </w:p>
    <w:p w14:paraId="24E23919" w14:textId="1871B385" w:rsidR="004A00F9" w:rsidRDefault="001803A2" w:rsidP="001803A2">
      <w:pPr>
        <w:spacing w:after="0"/>
        <w:ind w:right="80"/>
        <w:rPr>
          <w:rFonts w:cstheme="minorHAnsi"/>
        </w:rPr>
      </w:pPr>
      <w:r w:rsidRPr="00ED5869">
        <w:rPr>
          <w:rFonts w:cstheme="minorHAnsi"/>
        </w:rPr>
        <w:t>Note</w:t>
      </w:r>
      <w:r w:rsidR="004A00F9">
        <w:rPr>
          <w:rFonts w:cstheme="minorHAnsi"/>
        </w:rPr>
        <w:t>s about modifying assumptions in RiskGPS</w:t>
      </w:r>
      <w:r w:rsidRPr="00ED5869">
        <w:rPr>
          <w:rFonts w:cstheme="minorHAnsi"/>
        </w:rPr>
        <w:t xml:space="preserve">: </w:t>
      </w:r>
    </w:p>
    <w:p w14:paraId="4DCE12D1" w14:textId="7FD94893" w:rsidR="004A00F9" w:rsidRDefault="004A00F9" w:rsidP="004A00F9">
      <w:pPr>
        <w:pStyle w:val="ListParagraph"/>
        <w:numPr>
          <w:ilvl w:val="0"/>
          <w:numId w:val="55"/>
        </w:numPr>
        <w:spacing w:after="0"/>
        <w:ind w:right="80"/>
        <w:rPr>
          <w:rFonts w:cstheme="minorHAnsi"/>
        </w:rPr>
      </w:pPr>
      <w:r>
        <w:rPr>
          <w:rFonts w:cstheme="minorHAnsi"/>
        </w:rPr>
        <w:t xml:space="preserve">Leaving a box blank </w:t>
      </w:r>
      <w:r w:rsidR="001803A2" w:rsidRPr="004A00F9">
        <w:rPr>
          <w:rFonts w:cstheme="minorHAnsi"/>
        </w:rPr>
        <w:t>signifies the default setting</w:t>
      </w:r>
      <w:r>
        <w:rPr>
          <w:rFonts w:cstheme="minorHAnsi"/>
        </w:rPr>
        <w:t xml:space="preserve"> should be retained </w:t>
      </w:r>
    </w:p>
    <w:p w14:paraId="00F74491" w14:textId="77777777" w:rsidR="004A00F9" w:rsidRDefault="004A00F9" w:rsidP="001803A2">
      <w:pPr>
        <w:pStyle w:val="ListParagraph"/>
        <w:numPr>
          <w:ilvl w:val="0"/>
          <w:numId w:val="55"/>
        </w:numPr>
        <w:spacing w:after="0"/>
        <w:ind w:right="80"/>
        <w:rPr>
          <w:rFonts w:cstheme="minorHAnsi"/>
        </w:rPr>
      </w:pPr>
      <w:r>
        <w:rPr>
          <w:rFonts w:cstheme="minorHAnsi"/>
        </w:rPr>
        <w:t xml:space="preserve">Entering </w:t>
      </w:r>
      <w:r w:rsidR="001803A2" w:rsidRPr="004A00F9">
        <w:rPr>
          <w:rFonts w:cstheme="minorHAnsi"/>
        </w:rPr>
        <w:t>a zero indicates no balance or rate</w:t>
      </w:r>
    </w:p>
    <w:p w14:paraId="184C3E6A" w14:textId="77A7491E" w:rsidR="004A00F9" w:rsidRDefault="004A00F9" w:rsidP="001803A2">
      <w:pPr>
        <w:pStyle w:val="ListParagraph"/>
        <w:numPr>
          <w:ilvl w:val="0"/>
          <w:numId w:val="55"/>
        </w:numPr>
        <w:spacing w:after="0"/>
        <w:ind w:right="80"/>
        <w:rPr>
          <w:rFonts w:cstheme="minorHAnsi"/>
        </w:rPr>
      </w:pPr>
      <w:r>
        <w:rPr>
          <w:rFonts w:cstheme="minorHAnsi"/>
        </w:rPr>
        <w:t>Assumption changes are saved by clicking ‘OK’ at the bottom of the assumption screen</w:t>
      </w:r>
    </w:p>
    <w:p w14:paraId="4EF9C0CC" w14:textId="77777777" w:rsidR="004A00F9" w:rsidRDefault="004A00F9" w:rsidP="001803A2">
      <w:pPr>
        <w:pStyle w:val="ListParagraph"/>
        <w:numPr>
          <w:ilvl w:val="0"/>
          <w:numId w:val="55"/>
        </w:numPr>
        <w:spacing w:after="0"/>
        <w:ind w:right="80"/>
        <w:rPr>
          <w:rFonts w:cstheme="minorHAnsi"/>
        </w:rPr>
      </w:pPr>
      <w:r>
        <w:rPr>
          <w:rFonts w:cstheme="minorHAnsi"/>
        </w:rPr>
        <w:lastRenderedPageBreak/>
        <w:t xml:space="preserve">Entries can be cleared and the defaults restored by clicking ‘Clear Adjustments’ </w:t>
      </w:r>
    </w:p>
    <w:p w14:paraId="7F5AA886" w14:textId="6AB604EF" w:rsidR="001803A2" w:rsidRDefault="004A00F9" w:rsidP="00085290">
      <w:pPr>
        <w:pStyle w:val="ListParagraph"/>
        <w:numPr>
          <w:ilvl w:val="0"/>
          <w:numId w:val="55"/>
        </w:numPr>
        <w:spacing w:after="0"/>
        <w:ind w:right="80"/>
        <w:rPr>
          <w:rFonts w:cstheme="minorHAnsi"/>
        </w:rPr>
      </w:pPr>
      <w:r w:rsidRPr="004A00F9">
        <w:rPr>
          <w:rFonts w:cstheme="minorHAnsi"/>
        </w:rPr>
        <w:t>To refresh the screen and return to the previously saved changes, click ‘Reset’</w:t>
      </w:r>
    </w:p>
    <w:p w14:paraId="5BB0A8A2" w14:textId="77777777" w:rsidR="004A00F9" w:rsidRPr="004A00F9" w:rsidRDefault="004A00F9" w:rsidP="004A00F9">
      <w:pPr>
        <w:pStyle w:val="ListParagraph"/>
        <w:spacing w:after="0"/>
        <w:ind w:right="80"/>
        <w:rPr>
          <w:rFonts w:cstheme="minorHAnsi"/>
        </w:rPr>
      </w:pPr>
    </w:p>
    <w:p w14:paraId="3BA15EA9" w14:textId="77777777" w:rsidR="00E920EF" w:rsidRDefault="00E920EF" w:rsidP="001803A2">
      <w:pPr>
        <w:spacing w:after="0"/>
        <w:ind w:right="80"/>
        <w:rPr>
          <w:rFonts w:cstheme="minorHAnsi"/>
          <w:b/>
          <w:bCs/>
          <w:caps/>
        </w:rPr>
      </w:pPr>
    </w:p>
    <w:p w14:paraId="54002679" w14:textId="0BB50C31" w:rsidR="001803A2" w:rsidRPr="00E920EF" w:rsidRDefault="001803A2" w:rsidP="001803A2">
      <w:pPr>
        <w:spacing w:after="0"/>
        <w:ind w:right="80"/>
        <w:rPr>
          <w:rFonts w:cstheme="minorHAnsi"/>
          <w:b/>
          <w:bCs/>
          <w:caps/>
        </w:rPr>
      </w:pPr>
      <w:r w:rsidRPr="00E920EF">
        <w:rPr>
          <w:rFonts w:cstheme="minorHAnsi"/>
          <w:b/>
          <w:bCs/>
          <w:caps/>
        </w:rPr>
        <w:t>Risk Tolerance Assumptions</w:t>
      </w:r>
    </w:p>
    <w:p w14:paraId="0B72DFDD" w14:textId="198230AE" w:rsidR="001803A2" w:rsidRPr="00ED5869" w:rsidRDefault="001803A2" w:rsidP="001803A2">
      <w:pPr>
        <w:spacing w:after="0"/>
        <w:ind w:right="80"/>
        <w:rPr>
          <w:rFonts w:cstheme="minorHAnsi"/>
        </w:rPr>
      </w:pPr>
      <w:r w:rsidRPr="00ED5869">
        <w:rPr>
          <w:rFonts w:cstheme="minorHAnsi"/>
        </w:rPr>
        <w:t xml:space="preserve">For RiskGPS to calculate the minimum Net Interest Income (NII) for the bank it must </w:t>
      </w:r>
      <w:r w:rsidR="004A00F9" w:rsidRPr="00ED5869">
        <w:rPr>
          <w:rFonts w:cstheme="minorHAnsi"/>
        </w:rPr>
        <w:t>determine all</w:t>
      </w:r>
      <w:r w:rsidRPr="00ED5869">
        <w:rPr>
          <w:rFonts w:cstheme="minorHAnsi"/>
        </w:rPr>
        <w:t xml:space="preserve"> expenses, or cash flows, that the NII must cover. The </w:t>
      </w:r>
      <w:r w:rsidRPr="004A00F9">
        <w:rPr>
          <w:rFonts w:cstheme="minorHAnsi"/>
          <w:b/>
          <w:bCs/>
        </w:rPr>
        <w:t>Risk Tolerance Report</w:t>
      </w:r>
      <w:r w:rsidRPr="00ED5869">
        <w:rPr>
          <w:rFonts w:cstheme="minorHAnsi"/>
        </w:rPr>
        <w:t xml:space="preserve"> contains a dollar value of the item, and to the immediate right, the system has calculated percentage of Earning Assets (EA) and the percentage of Average Assets (AA). Both are presented to accommodate the various ratios that bankers use in their measurement methods.</w:t>
      </w:r>
      <w:r w:rsidR="004A00F9">
        <w:rPr>
          <w:rFonts w:cstheme="minorHAnsi"/>
        </w:rPr>
        <w:t xml:space="preserve"> </w:t>
      </w:r>
      <w:r w:rsidRPr="00ED5869">
        <w:rPr>
          <w:rFonts w:cstheme="minorHAnsi"/>
        </w:rPr>
        <w:t>The following are the assumptions that impact Risk Tolerance:</w:t>
      </w:r>
    </w:p>
    <w:p w14:paraId="60B24BEC" w14:textId="5EA0418B" w:rsidR="004A00F9" w:rsidRPr="004A00F9" w:rsidRDefault="001803A2" w:rsidP="001803A2">
      <w:pPr>
        <w:pStyle w:val="ListParagraph"/>
        <w:numPr>
          <w:ilvl w:val="0"/>
          <w:numId w:val="56"/>
        </w:numPr>
        <w:spacing w:after="0"/>
        <w:ind w:right="86"/>
        <w:rPr>
          <w:rFonts w:cstheme="minorHAnsi"/>
        </w:rPr>
      </w:pPr>
      <w:r w:rsidRPr="004A00F9">
        <w:rPr>
          <w:rFonts w:cstheme="minorHAnsi"/>
          <w:position w:val="-1"/>
          <w:u w:val="single" w:color="000000"/>
        </w:rPr>
        <w:t>System Estimates</w:t>
      </w:r>
      <w:r w:rsidRPr="004A00F9">
        <w:rPr>
          <w:rFonts w:cstheme="minorHAnsi"/>
          <w:position w:val="-1"/>
        </w:rPr>
        <w:t xml:space="preserve"> are default values based on the bank’s past activity as well as applying industry standards</w:t>
      </w:r>
      <w:r w:rsidR="004A00F9">
        <w:rPr>
          <w:rFonts w:cstheme="minorHAnsi"/>
          <w:position w:val="-1"/>
        </w:rPr>
        <w:t>.</w:t>
      </w:r>
    </w:p>
    <w:p w14:paraId="4D5DFF49" w14:textId="2A176591" w:rsidR="004A00F9" w:rsidRDefault="001803A2" w:rsidP="001803A2">
      <w:pPr>
        <w:pStyle w:val="ListParagraph"/>
        <w:numPr>
          <w:ilvl w:val="0"/>
          <w:numId w:val="56"/>
        </w:numPr>
        <w:spacing w:after="0"/>
        <w:ind w:right="86"/>
        <w:rPr>
          <w:rFonts w:cstheme="minorHAnsi"/>
        </w:rPr>
      </w:pPr>
      <w:r w:rsidRPr="00234983">
        <w:rPr>
          <w:rFonts w:cstheme="minorHAnsi"/>
          <w:b/>
          <w:bCs/>
        </w:rPr>
        <w:t>Minimum Capital Ratio</w:t>
      </w:r>
      <w:r w:rsidRPr="004A00F9">
        <w:rPr>
          <w:rFonts w:cstheme="minorHAnsi"/>
        </w:rPr>
        <w:t>: RiskGPS default</w:t>
      </w:r>
      <w:r w:rsidR="004A00F9">
        <w:rPr>
          <w:rFonts w:cstheme="minorHAnsi"/>
        </w:rPr>
        <w:t>s</w:t>
      </w:r>
      <w:r w:rsidRPr="004A00F9">
        <w:rPr>
          <w:rFonts w:cstheme="minorHAnsi"/>
        </w:rPr>
        <w:t xml:space="preserve"> to a 7% minimum. Please enter your bank’s minimum Capital/Asset ratio as required and stated in your bank’s policy</w:t>
      </w:r>
      <w:r w:rsidR="004A00F9">
        <w:rPr>
          <w:rFonts w:cstheme="minorHAnsi"/>
        </w:rPr>
        <w:t>.</w:t>
      </w:r>
    </w:p>
    <w:p w14:paraId="4163F66A" w14:textId="77777777" w:rsidR="004A00F9" w:rsidRDefault="001803A2" w:rsidP="004A00F9">
      <w:pPr>
        <w:pStyle w:val="ListParagraph"/>
        <w:numPr>
          <w:ilvl w:val="0"/>
          <w:numId w:val="56"/>
        </w:numPr>
        <w:spacing w:after="0"/>
        <w:ind w:right="86"/>
        <w:rPr>
          <w:rFonts w:cstheme="minorHAnsi"/>
        </w:rPr>
      </w:pPr>
      <w:r w:rsidRPr="00234983">
        <w:rPr>
          <w:rFonts w:cstheme="minorHAnsi"/>
          <w:b/>
          <w:bCs/>
        </w:rPr>
        <w:t>Total Asset Growth Rate</w:t>
      </w:r>
      <w:r w:rsidRPr="004A00F9">
        <w:rPr>
          <w:rFonts w:cstheme="minorHAnsi"/>
        </w:rPr>
        <w:t>: RiskGPS will review both recent and long-term history to make an initial default (estimate) growth rate for the next 4 quarters. This rate will also be used in the Performance Forecast section of the system. You will need to enter the bank’s current year’s budgeted Total Asset Growth Rate.</w:t>
      </w:r>
    </w:p>
    <w:p w14:paraId="22881EF7" w14:textId="77777777" w:rsidR="004A00F9" w:rsidRDefault="001803A2" w:rsidP="004A00F9">
      <w:pPr>
        <w:pStyle w:val="ListParagraph"/>
        <w:numPr>
          <w:ilvl w:val="0"/>
          <w:numId w:val="56"/>
        </w:numPr>
        <w:spacing w:after="0"/>
        <w:ind w:right="86"/>
        <w:rPr>
          <w:rFonts w:cstheme="minorHAnsi"/>
        </w:rPr>
      </w:pPr>
      <w:r w:rsidRPr="00234983">
        <w:rPr>
          <w:rFonts w:cstheme="minorHAnsi"/>
          <w:b/>
          <w:bCs/>
        </w:rPr>
        <w:t>Projected Dividends</w:t>
      </w:r>
      <w:r w:rsidRPr="004A00F9">
        <w:rPr>
          <w:rFonts w:cstheme="minorHAnsi"/>
        </w:rPr>
        <w:t>: Based on the bank’s history, RiskGPS will forecast the estimated dividends expected to be paid over the next four quarters</w:t>
      </w:r>
      <w:r w:rsidR="004A00F9">
        <w:rPr>
          <w:rFonts w:cstheme="minorHAnsi"/>
        </w:rPr>
        <w:t xml:space="preserve">. These dividends </w:t>
      </w:r>
      <w:r w:rsidRPr="004A00F9">
        <w:rPr>
          <w:rFonts w:cstheme="minorHAnsi"/>
        </w:rPr>
        <w:t>will be used in the NII calculations. If you are anticipating a capital injection, enter that here as a negative, or contra</w:t>
      </w:r>
      <w:r w:rsidR="004A00F9">
        <w:rPr>
          <w:rFonts w:cstheme="minorHAnsi"/>
        </w:rPr>
        <w:t>,</w:t>
      </w:r>
      <w:r w:rsidRPr="004A00F9">
        <w:rPr>
          <w:rFonts w:cstheme="minorHAnsi"/>
        </w:rPr>
        <w:t xml:space="preserve"> dividend.</w:t>
      </w:r>
    </w:p>
    <w:p w14:paraId="51586C7C" w14:textId="77777777" w:rsidR="00234983" w:rsidRDefault="001803A2" w:rsidP="00234983">
      <w:pPr>
        <w:pStyle w:val="ListParagraph"/>
        <w:numPr>
          <w:ilvl w:val="0"/>
          <w:numId w:val="56"/>
        </w:numPr>
        <w:spacing w:after="0"/>
        <w:ind w:right="86"/>
        <w:rPr>
          <w:rFonts w:cstheme="minorHAnsi"/>
        </w:rPr>
      </w:pPr>
      <w:r w:rsidRPr="00234983">
        <w:rPr>
          <w:rFonts w:cstheme="minorHAnsi"/>
          <w:b/>
          <w:bCs/>
        </w:rPr>
        <w:t>Projected Non-Interest Income, Non-Interest Expense, and Provision for Loan Loss</w:t>
      </w:r>
      <w:r w:rsidRPr="004A00F9">
        <w:rPr>
          <w:rFonts w:cstheme="minorHAnsi"/>
        </w:rPr>
        <w:t xml:space="preserve">: These </w:t>
      </w:r>
      <w:r w:rsidR="004A00F9">
        <w:rPr>
          <w:rFonts w:cstheme="minorHAnsi"/>
        </w:rPr>
        <w:t>are</w:t>
      </w:r>
      <w:r w:rsidRPr="004A00F9">
        <w:rPr>
          <w:rFonts w:cstheme="minorHAnsi"/>
        </w:rPr>
        <w:t xml:space="preserve"> estimated based on the bank’s history, as the values over the previous four quarters are summed and divided by the YTD Average Earning Assets (last 4 quarters Avg. Earn. Assets/4). RiskGPS then applies the ratio to the projected Average Earning Assets (see Risk Tolerance report). The user is encouraged to revise the amounts to better reflect what the bank estimates will be occurring over the next four quarters.</w:t>
      </w:r>
    </w:p>
    <w:p w14:paraId="5C77AB08" w14:textId="42539E9F" w:rsidR="001803A2" w:rsidRPr="00234983" w:rsidRDefault="001803A2" w:rsidP="00234983">
      <w:pPr>
        <w:pStyle w:val="ListParagraph"/>
        <w:numPr>
          <w:ilvl w:val="0"/>
          <w:numId w:val="56"/>
        </w:numPr>
        <w:spacing w:after="0"/>
        <w:ind w:right="86"/>
        <w:rPr>
          <w:rFonts w:cstheme="minorHAnsi"/>
        </w:rPr>
      </w:pPr>
      <w:r w:rsidRPr="00234983">
        <w:rPr>
          <w:rFonts w:cstheme="minorHAnsi"/>
          <w:b/>
          <w:bCs/>
        </w:rPr>
        <w:t>Tax Equivalent Adjustments (TE)</w:t>
      </w:r>
      <w:r w:rsidR="00234983" w:rsidRPr="00234983">
        <w:rPr>
          <w:rFonts w:cstheme="minorHAnsi"/>
        </w:rPr>
        <w:t>:</w:t>
      </w:r>
      <w:r w:rsidR="00234983">
        <w:rPr>
          <w:rFonts w:cstheme="minorHAnsi"/>
        </w:rPr>
        <w:t xml:space="preserve"> f</w:t>
      </w:r>
      <w:r w:rsidRPr="00234983">
        <w:rPr>
          <w:rFonts w:cstheme="minorHAnsi"/>
        </w:rPr>
        <w:t>or tax estimates, please edit the following as needed:</w:t>
      </w:r>
    </w:p>
    <w:p w14:paraId="742C3C98" w14:textId="1087CD24" w:rsidR="00234983" w:rsidRDefault="001803A2" w:rsidP="00234983">
      <w:pPr>
        <w:pStyle w:val="ListParagraph"/>
        <w:numPr>
          <w:ilvl w:val="0"/>
          <w:numId w:val="62"/>
        </w:numPr>
        <w:spacing w:after="0"/>
        <w:ind w:right="80"/>
        <w:rPr>
          <w:rFonts w:cstheme="minorHAnsi"/>
        </w:rPr>
      </w:pPr>
      <w:r w:rsidRPr="00ED5869">
        <w:rPr>
          <w:rFonts w:cstheme="minorHAnsi"/>
        </w:rPr>
        <w:t xml:space="preserve">Estimated Effective Tax Rate: </w:t>
      </w:r>
      <w:r w:rsidR="004A00F9">
        <w:rPr>
          <w:rFonts w:cstheme="minorHAnsi"/>
        </w:rPr>
        <w:t>e</w:t>
      </w:r>
      <w:r w:rsidRPr="00ED5869">
        <w:rPr>
          <w:rFonts w:cstheme="minorHAnsi"/>
        </w:rPr>
        <w:t xml:space="preserve">nter </w:t>
      </w:r>
      <w:r w:rsidR="00234983">
        <w:rPr>
          <w:rFonts w:cstheme="minorHAnsi"/>
        </w:rPr>
        <w:t xml:space="preserve">this as an </w:t>
      </w:r>
      <w:r w:rsidRPr="00ED5869">
        <w:rPr>
          <w:rFonts w:cstheme="minorHAnsi"/>
        </w:rPr>
        <w:t>annual percentage</w:t>
      </w:r>
    </w:p>
    <w:p w14:paraId="1128630E" w14:textId="38C8387F" w:rsidR="001803A2" w:rsidRPr="00234983" w:rsidRDefault="001803A2" w:rsidP="00234983">
      <w:pPr>
        <w:pStyle w:val="ListParagraph"/>
        <w:numPr>
          <w:ilvl w:val="0"/>
          <w:numId w:val="62"/>
        </w:numPr>
        <w:spacing w:after="0"/>
        <w:ind w:right="80"/>
        <w:rPr>
          <w:rFonts w:cstheme="minorHAnsi"/>
        </w:rPr>
      </w:pPr>
      <w:r w:rsidRPr="00234983">
        <w:rPr>
          <w:rFonts w:cstheme="minorHAnsi"/>
        </w:rPr>
        <w:t xml:space="preserve">“S” Corp?  Yes/No: </w:t>
      </w:r>
      <w:r w:rsidR="004A00F9" w:rsidRPr="00234983">
        <w:rPr>
          <w:rFonts w:cstheme="minorHAnsi"/>
        </w:rPr>
        <w:t>s</w:t>
      </w:r>
      <w:r w:rsidRPr="00234983">
        <w:rPr>
          <w:rFonts w:cstheme="minorHAnsi"/>
        </w:rPr>
        <w:t xml:space="preserve">elect </w:t>
      </w:r>
      <w:r w:rsidR="004A00F9" w:rsidRPr="00234983">
        <w:rPr>
          <w:rFonts w:cstheme="minorHAnsi"/>
        </w:rPr>
        <w:t xml:space="preserve">the </w:t>
      </w:r>
      <w:r w:rsidRPr="00234983">
        <w:rPr>
          <w:rFonts w:cstheme="minorHAnsi"/>
        </w:rPr>
        <w:t>appropriate tax condition</w:t>
      </w:r>
      <w:r w:rsidR="004A00F9" w:rsidRPr="00234983">
        <w:rPr>
          <w:rFonts w:cstheme="minorHAnsi"/>
        </w:rPr>
        <w:t xml:space="preserve"> for your bank</w:t>
      </w:r>
      <w:r w:rsidRPr="00234983">
        <w:rPr>
          <w:rFonts w:cstheme="minorHAnsi"/>
        </w:rPr>
        <w:t>.</w:t>
      </w:r>
    </w:p>
    <w:p w14:paraId="31D3BB52" w14:textId="77777777" w:rsidR="00234983" w:rsidRDefault="00234983" w:rsidP="001803A2">
      <w:pPr>
        <w:spacing w:after="0"/>
        <w:ind w:right="86"/>
        <w:rPr>
          <w:rFonts w:cstheme="minorHAnsi"/>
          <w:b/>
          <w:bCs/>
          <w:caps/>
        </w:rPr>
      </w:pPr>
    </w:p>
    <w:p w14:paraId="212D7A09" w14:textId="77777777" w:rsidR="00234983" w:rsidRDefault="00234983" w:rsidP="001803A2">
      <w:pPr>
        <w:spacing w:after="0"/>
        <w:ind w:right="86"/>
        <w:rPr>
          <w:rFonts w:cstheme="minorHAnsi"/>
          <w:b/>
          <w:bCs/>
          <w:caps/>
        </w:rPr>
      </w:pPr>
    </w:p>
    <w:p w14:paraId="52DC76D3" w14:textId="22C60152" w:rsidR="001803A2" w:rsidRPr="00E920EF" w:rsidRDefault="001803A2" w:rsidP="001803A2">
      <w:pPr>
        <w:spacing w:after="0"/>
        <w:ind w:right="86"/>
        <w:rPr>
          <w:rFonts w:cstheme="minorHAnsi"/>
          <w:b/>
          <w:bCs/>
          <w:caps/>
        </w:rPr>
      </w:pPr>
      <w:r w:rsidRPr="00E920EF">
        <w:rPr>
          <w:rFonts w:cstheme="minorHAnsi"/>
          <w:b/>
          <w:bCs/>
          <w:caps/>
        </w:rPr>
        <w:t>Loan Assumptions</w:t>
      </w:r>
    </w:p>
    <w:p w14:paraId="7C4E0D00" w14:textId="4EA88F7A" w:rsidR="001803A2" w:rsidRPr="004A00F9" w:rsidRDefault="001803A2" w:rsidP="001803A2">
      <w:pPr>
        <w:pStyle w:val="ListParagraph"/>
        <w:numPr>
          <w:ilvl w:val="0"/>
          <w:numId w:val="57"/>
        </w:numPr>
        <w:spacing w:after="0"/>
        <w:ind w:right="86"/>
        <w:rPr>
          <w:rFonts w:cstheme="minorHAnsi"/>
        </w:rPr>
      </w:pPr>
      <w:r w:rsidRPr="004A00F9">
        <w:rPr>
          <w:rFonts w:cstheme="minorHAnsi"/>
          <w:u w:val="single" w:color="000000"/>
        </w:rPr>
        <w:t>Market Rate for Loans Used as Discount Rate</w:t>
      </w:r>
      <w:r w:rsidR="004A00F9" w:rsidRPr="004A00F9">
        <w:rPr>
          <w:rFonts w:cstheme="minorHAnsi"/>
          <w:u w:val="single" w:color="000000"/>
        </w:rPr>
        <w:t>:</w:t>
      </w:r>
      <w:r w:rsidRPr="004A00F9">
        <w:rPr>
          <w:rFonts w:cstheme="minorHAnsi"/>
        </w:rPr>
        <w:t xml:space="preserve"> </w:t>
      </w:r>
      <w:r w:rsidR="004A00F9" w:rsidRPr="004A00F9">
        <w:rPr>
          <w:rFonts w:cstheme="minorHAnsi"/>
        </w:rPr>
        <w:t>a</w:t>
      </w:r>
      <w:r w:rsidRPr="004A00F9">
        <w:rPr>
          <w:rFonts w:cstheme="minorHAnsi"/>
        </w:rPr>
        <w:t>lso known as the Average Rate expected for New Loans. This rate serves multiple purposes. First, this rate is used as the discount rate on Loans when calculating their Market Value for the EVE shock analysis. Secondly, it represents the repricing rate on all contractual run-offs, i.e., loan maturities and prepayments.</w:t>
      </w:r>
      <w:r w:rsidR="004A00F9">
        <w:rPr>
          <w:rFonts w:cstheme="minorHAnsi"/>
        </w:rPr>
        <w:t xml:space="preserve"> </w:t>
      </w:r>
      <w:r w:rsidRPr="004A00F9">
        <w:rPr>
          <w:rFonts w:cstheme="minorHAnsi"/>
        </w:rPr>
        <w:t>Important</w:t>
      </w:r>
      <w:r w:rsidR="004A00F9" w:rsidRPr="004A00F9">
        <w:rPr>
          <w:rFonts w:cstheme="minorHAnsi"/>
        </w:rPr>
        <w:t xml:space="preserve">: </w:t>
      </w:r>
      <w:r w:rsidR="004A00F9">
        <w:rPr>
          <w:rFonts w:cstheme="minorHAnsi"/>
        </w:rPr>
        <w:t>a</w:t>
      </w:r>
      <w:r w:rsidRPr="004A00F9">
        <w:rPr>
          <w:rFonts w:cstheme="minorHAnsi"/>
        </w:rPr>
        <w:t xml:space="preserve"> system estimate is supplied for you; we recommend you review and edit as appropriate.</w:t>
      </w:r>
    </w:p>
    <w:p w14:paraId="5955ADE3" w14:textId="77777777" w:rsidR="001803A2" w:rsidRPr="00ED5869" w:rsidRDefault="001803A2" w:rsidP="001803A2">
      <w:pPr>
        <w:spacing w:after="0"/>
        <w:ind w:right="86"/>
        <w:rPr>
          <w:rFonts w:cstheme="minorHAnsi"/>
        </w:rPr>
      </w:pPr>
    </w:p>
    <w:p w14:paraId="46FCC517" w14:textId="50A17E6A" w:rsidR="001803A2" w:rsidRPr="004A00F9" w:rsidRDefault="001803A2" w:rsidP="004A00F9">
      <w:pPr>
        <w:pStyle w:val="ListParagraph"/>
        <w:numPr>
          <w:ilvl w:val="0"/>
          <w:numId w:val="57"/>
        </w:numPr>
        <w:spacing w:after="0"/>
        <w:ind w:right="86"/>
        <w:rPr>
          <w:rFonts w:cstheme="minorHAnsi"/>
        </w:rPr>
      </w:pPr>
      <w:r w:rsidRPr="004A00F9">
        <w:rPr>
          <w:rFonts w:cstheme="minorHAnsi"/>
          <w:u w:val="single"/>
        </w:rPr>
        <w:lastRenderedPageBreak/>
        <w:t>All Other Loans - (all loans excluding 1-4 Fam Res Mtgs)</w:t>
      </w:r>
      <w:r w:rsidR="004A00F9">
        <w:rPr>
          <w:rFonts w:cstheme="minorHAnsi"/>
          <w:u w:val="single"/>
        </w:rPr>
        <w:t xml:space="preserve">: </w:t>
      </w:r>
      <w:proofErr w:type="gramStart"/>
      <w:r w:rsidRPr="004A00F9">
        <w:rPr>
          <w:rFonts w:cstheme="minorHAnsi"/>
        </w:rPr>
        <w:t>all of</w:t>
      </w:r>
      <w:proofErr w:type="gramEnd"/>
      <w:r w:rsidRPr="004A00F9">
        <w:rPr>
          <w:rFonts w:cstheme="minorHAnsi"/>
        </w:rPr>
        <w:t xml:space="preserve"> the </w:t>
      </w:r>
      <w:proofErr w:type="gramStart"/>
      <w:r w:rsidRPr="004A00F9">
        <w:rPr>
          <w:rFonts w:cstheme="minorHAnsi"/>
        </w:rPr>
        <w:t>bank’s</w:t>
      </w:r>
      <w:proofErr w:type="gramEnd"/>
      <w:r w:rsidRPr="004A00F9">
        <w:rPr>
          <w:rFonts w:cstheme="minorHAnsi"/>
        </w:rPr>
        <w:t xml:space="preserve"> loans </w:t>
      </w:r>
      <w:r w:rsidRPr="004A00F9">
        <w:rPr>
          <w:rFonts w:cstheme="minorHAnsi"/>
          <w:u w:val="single" w:color="000000"/>
        </w:rPr>
        <w:t>excluding</w:t>
      </w:r>
      <w:r w:rsidRPr="004A00F9">
        <w:rPr>
          <w:rFonts w:cstheme="minorHAnsi"/>
        </w:rPr>
        <w:t xml:space="preserve"> Residential 1-4 family closed end loans and fixed rate loans. The Call Report requires banks to classify Floating Rate Loans that have reached their floor as Fixed. Therefore, maturity schedules as stated in the bank’s Call Report, when combined with repricing data, may not be a true indicator of the bank’s interest rate risk position.</w:t>
      </w:r>
    </w:p>
    <w:p w14:paraId="6A21E536" w14:textId="77777777" w:rsidR="001803A2" w:rsidRPr="00ED5869" w:rsidRDefault="001803A2" w:rsidP="001803A2">
      <w:pPr>
        <w:spacing w:after="0"/>
        <w:ind w:right="86"/>
        <w:rPr>
          <w:rFonts w:cstheme="minorHAnsi"/>
        </w:rPr>
      </w:pPr>
    </w:p>
    <w:p w14:paraId="3D4A80B2" w14:textId="77777777" w:rsidR="004A00F9" w:rsidRPr="004A00F9" w:rsidRDefault="001803A2" w:rsidP="004A00F9">
      <w:pPr>
        <w:spacing w:after="0"/>
        <w:rPr>
          <w:rFonts w:cstheme="minorHAnsi"/>
          <w:i/>
          <w:iCs/>
        </w:rPr>
      </w:pPr>
      <w:proofErr w:type="spellStart"/>
      <w:r w:rsidRPr="00ED5869">
        <w:rPr>
          <w:rFonts w:cstheme="minorHAnsi"/>
        </w:rPr>
        <w:t>RiskGPS’s</w:t>
      </w:r>
      <w:proofErr w:type="spellEnd"/>
      <w:r w:rsidRPr="00ED5869">
        <w:rPr>
          <w:rFonts w:cstheme="minorHAnsi"/>
        </w:rPr>
        <w:t xml:space="preserve"> loan assumptions provide you with the ability to distribute floating loans into three categories: Floating</w:t>
      </w:r>
      <w:r w:rsidR="004A00F9">
        <w:rPr>
          <w:rFonts w:cstheme="minorHAnsi"/>
        </w:rPr>
        <w:t xml:space="preserve"> without a Floor</w:t>
      </w:r>
      <w:r w:rsidRPr="00ED5869">
        <w:rPr>
          <w:rFonts w:cstheme="minorHAnsi"/>
        </w:rPr>
        <w:t>, Floating Above Floor, and Floating At their Floor</w:t>
      </w:r>
      <w:r w:rsidR="004A00F9">
        <w:rPr>
          <w:rFonts w:cstheme="minorHAnsi"/>
        </w:rPr>
        <w:t xml:space="preserve">. </w:t>
      </w:r>
      <w:r w:rsidR="004A00F9" w:rsidRPr="004A00F9">
        <w:rPr>
          <w:rFonts w:cstheme="minorHAnsi"/>
          <w:i/>
          <w:iCs/>
        </w:rPr>
        <w:t>It is possible that the total of all three assumption categories may not equal Total Other Loans, as you may have traditional fixed balances remaining in the category. For Floating above and at Floor volumes, RiskGPS will limit your entries so not to exceed the amount of Total Other Loans, less any entries made</w:t>
      </w:r>
      <w:r w:rsidR="004A00F9">
        <w:rPr>
          <w:rFonts w:cstheme="minorHAnsi"/>
          <w:i/>
          <w:iCs/>
        </w:rPr>
        <w:t xml:space="preserve"> </w:t>
      </w:r>
      <w:r w:rsidR="004A00F9" w:rsidRPr="004A00F9">
        <w:rPr>
          <w:rFonts w:cstheme="minorHAnsi"/>
          <w:i/>
          <w:iCs/>
        </w:rPr>
        <w:t>to Volume of Loans Floating without a Floor. You will be automatically notified if you violate this restriction.</w:t>
      </w:r>
    </w:p>
    <w:p w14:paraId="31632B00" w14:textId="63DF2662" w:rsidR="001803A2" w:rsidRPr="00ED5869" w:rsidRDefault="001803A2" w:rsidP="001803A2">
      <w:pPr>
        <w:spacing w:after="0"/>
        <w:ind w:right="86"/>
        <w:rPr>
          <w:rFonts w:cstheme="minorHAnsi"/>
        </w:rPr>
      </w:pPr>
      <w:r w:rsidRPr="00ED5869">
        <w:rPr>
          <w:rFonts w:cstheme="minorHAnsi"/>
        </w:rPr>
        <w:t xml:space="preserve"> </w:t>
      </w:r>
    </w:p>
    <w:p w14:paraId="25A9BF14" w14:textId="046B5C75" w:rsidR="004A00F9" w:rsidRPr="004A00F9" w:rsidRDefault="001803A2" w:rsidP="00781FBD">
      <w:pPr>
        <w:pStyle w:val="ListParagraph"/>
        <w:numPr>
          <w:ilvl w:val="0"/>
          <w:numId w:val="58"/>
        </w:numPr>
        <w:spacing w:after="0"/>
        <w:ind w:left="360" w:right="86"/>
        <w:rPr>
          <w:rFonts w:cstheme="minorHAnsi"/>
        </w:rPr>
      </w:pPr>
      <w:r w:rsidRPr="004A00F9">
        <w:rPr>
          <w:rFonts w:cstheme="minorHAnsi"/>
          <w:b/>
          <w:bCs/>
        </w:rPr>
        <w:t>Volume of Loans Floating</w:t>
      </w:r>
      <w:r w:rsidR="004A00F9" w:rsidRPr="004A00F9">
        <w:rPr>
          <w:rFonts w:cstheme="minorHAnsi"/>
          <w:b/>
          <w:bCs/>
        </w:rPr>
        <w:t xml:space="preserve"> without a Floor</w:t>
      </w:r>
      <w:r w:rsidRPr="004A00F9">
        <w:rPr>
          <w:rFonts w:cstheme="minorHAnsi"/>
        </w:rPr>
        <w:t xml:space="preserve">: </w:t>
      </w:r>
      <w:r w:rsidR="004A00F9" w:rsidRPr="004A00F9">
        <w:rPr>
          <w:rFonts w:cstheme="minorHAnsi"/>
        </w:rPr>
        <w:t>t</w:t>
      </w:r>
      <w:r w:rsidRPr="004A00F9">
        <w:rPr>
          <w:rFonts w:cstheme="minorHAnsi"/>
        </w:rPr>
        <w:t>his field is available so you may identify that portion of the amount reported in the 1-3 month maturity bucket of the call report that are immediately available for repricing. RiskGPS may provide an estimate, or system default, for you. You are encouraged to edit this assumption to coincide with your bank loan reports.</w:t>
      </w:r>
      <w:r w:rsidR="004A00F9" w:rsidRPr="004A00F9">
        <w:rPr>
          <w:rFonts w:cstheme="minorHAnsi"/>
        </w:rPr>
        <w:t xml:space="preserve"> </w:t>
      </w:r>
      <w:r w:rsidRPr="004A00F9">
        <w:rPr>
          <w:rFonts w:cstheme="minorHAnsi"/>
        </w:rPr>
        <w:t>Note: Your entry for Floating Loan volumes cannot exceed that which was reported in your 1-3 month maturity bucket on the call report. You will be notified in the event this occurs.</w:t>
      </w:r>
      <w:r w:rsidR="004A00F9" w:rsidRPr="004A00F9">
        <w:rPr>
          <w:rFonts w:cstheme="minorHAnsi"/>
        </w:rPr>
        <w:t xml:space="preserve"> </w:t>
      </w:r>
      <w:r w:rsidRPr="004A00F9">
        <w:rPr>
          <w:rFonts w:cstheme="minorHAnsi"/>
        </w:rPr>
        <w:t xml:space="preserve">Floating </w:t>
      </w:r>
      <w:r w:rsidR="004A00F9" w:rsidRPr="004A00F9">
        <w:rPr>
          <w:rFonts w:cstheme="minorHAnsi"/>
        </w:rPr>
        <w:t xml:space="preserve">loans without a </w:t>
      </w:r>
      <w:r w:rsidRPr="004A00F9">
        <w:rPr>
          <w:rFonts w:cstheme="minorHAnsi"/>
        </w:rPr>
        <w:t>floor</w:t>
      </w:r>
      <w:r w:rsidR="004A00F9" w:rsidRPr="004A00F9">
        <w:rPr>
          <w:rFonts w:cstheme="minorHAnsi"/>
        </w:rPr>
        <w:t xml:space="preserve"> r</w:t>
      </w:r>
      <w:r w:rsidRPr="004A00F9">
        <w:rPr>
          <w:rFonts w:cstheme="minorHAnsi"/>
        </w:rPr>
        <w:t>eprice using our calculated rate for All Other Loans. If you supply information for ‘Floating Loans Above Floor’, your user-defined Weighted Average Contractual (Indexed) Rate will be used in replacement of the rate on All Other Loans.</w:t>
      </w:r>
      <w:r w:rsidR="00234983">
        <w:rPr>
          <w:rFonts w:cstheme="minorHAnsi"/>
        </w:rPr>
        <w:br/>
      </w:r>
    </w:p>
    <w:p w14:paraId="7FA96DBD" w14:textId="209E98CE" w:rsidR="001803A2" w:rsidRPr="004A00F9" w:rsidRDefault="001803A2" w:rsidP="00234983">
      <w:pPr>
        <w:pStyle w:val="ListParagraph"/>
        <w:numPr>
          <w:ilvl w:val="0"/>
          <w:numId w:val="58"/>
        </w:numPr>
        <w:spacing w:after="0"/>
        <w:ind w:left="360" w:right="86"/>
        <w:rPr>
          <w:rFonts w:cstheme="minorHAnsi"/>
        </w:rPr>
      </w:pPr>
      <w:r w:rsidRPr="004A00F9">
        <w:rPr>
          <w:rFonts w:cstheme="minorHAnsi"/>
          <w:b/>
          <w:bCs/>
        </w:rPr>
        <w:t>Floating Loans Above Floor</w:t>
      </w:r>
      <w:r w:rsidRPr="004A00F9">
        <w:rPr>
          <w:rFonts w:cstheme="minorHAnsi"/>
        </w:rPr>
        <w:t xml:space="preserve">: enter Other Loan balances which have a floating/variable rate but are </w:t>
      </w:r>
      <w:r w:rsidRPr="004A00F9">
        <w:rPr>
          <w:rFonts w:cstheme="minorHAnsi"/>
          <w:u w:val="single" w:color="000000"/>
        </w:rPr>
        <w:t>governed by a floor</w:t>
      </w:r>
      <w:r w:rsidRPr="004A00F9">
        <w:rPr>
          <w:rFonts w:cstheme="minorHAnsi"/>
        </w:rPr>
        <w:t xml:space="preserve">. In this situation, the balances will reprice freely during a rate shock simulation until rates decline to the point they hit their floor. When this condition is met, RiskGPS will treat them as a fixed rate loan. This will demonstrate the protective nature </w:t>
      </w:r>
      <w:r w:rsidR="004A00F9" w:rsidRPr="004A00F9">
        <w:rPr>
          <w:rFonts w:cstheme="minorHAnsi"/>
        </w:rPr>
        <w:t>of</w:t>
      </w:r>
      <w:r w:rsidRPr="004A00F9">
        <w:rPr>
          <w:rFonts w:cstheme="minorHAnsi"/>
        </w:rPr>
        <w:t xml:space="preserve"> interest that these loan types have in a declining rate environment.</w:t>
      </w:r>
    </w:p>
    <w:p w14:paraId="37A71098" w14:textId="77777777" w:rsidR="004A00F9" w:rsidRDefault="001803A2" w:rsidP="001803A2">
      <w:pPr>
        <w:pStyle w:val="ListParagraph"/>
        <w:numPr>
          <w:ilvl w:val="0"/>
          <w:numId w:val="59"/>
        </w:numPr>
        <w:spacing w:after="0"/>
        <w:ind w:right="80"/>
        <w:rPr>
          <w:rFonts w:cstheme="minorHAnsi"/>
        </w:rPr>
      </w:pPr>
      <w:r w:rsidRPr="004A00F9">
        <w:rPr>
          <w:rFonts w:cstheme="minorHAnsi"/>
          <w:b/>
          <w:bCs/>
        </w:rPr>
        <w:t>Weighted Average Yield on Floating Loans Above Floor</w:t>
      </w:r>
      <w:r w:rsidRPr="004A00F9">
        <w:rPr>
          <w:rFonts w:cstheme="minorHAnsi"/>
        </w:rPr>
        <w:t xml:space="preserve">: </w:t>
      </w:r>
      <w:r w:rsidR="004A00F9" w:rsidRPr="004A00F9">
        <w:rPr>
          <w:rFonts w:cstheme="minorHAnsi"/>
        </w:rPr>
        <w:t>t</w:t>
      </w:r>
      <w:r w:rsidRPr="004A00F9">
        <w:rPr>
          <w:rFonts w:cstheme="minorHAnsi"/>
        </w:rPr>
        <w:t>his is the weighted average yield on loans in this category and may be the same or very close to the Contractual (Indexed) Rate for Floating Loans Above Floor. This yield will be used in the calculation of exiting interest for each shock calculation. If you do not enter a weighted average yield, the system will use the estimated yield based on your call report data.</w:t>
      </w:r>
    </w:p>
    <w:p w14:paraId="64C4EDEC" w14:textId="0CB33487" w:rsidR="001803A2" w:rsidRPr="004A00F9" w:rsidRDefault="001803A2" w:rsidP="001803A2">
      <w:pPr>
        <w:pStyle w:val="ListParagraph"/>
        <w:numPr>
          <w:ilvl w:val="0"/>
          <w:numId w:val="59"/>
        </w:numPr>
        <w:spacing w:after="0"/>
        <w:ind w:right="80"/>
        <w:rPr>
          <w:rFonts w:cstheme="minorHAnsi"/>
        </w:rPr>
      </w:pPr>
      <w:r w:rsidRPr="004A00F9">
        <w:rPr>
          <w:rFonts w:cstheme="minorHAnsi"/>
          <w:b/>
          <w:bCs/>
        </w:rPr>
        <w:t>Weighted Average Contractual (Indexed Rate)</w:t>
      </w:r>
      <w:r w:rsidR="00D365BA">
        <w:rPr>
          <w:rFonts w:cstheme="minorHAnsi"/>
          <w:b/>
          <w:bCs/>
        </w:rPr>
        <w:t xml:space="preserve"> for Floating Loans Above Floor</w:t>
      </w:r>
      <w:r w:rsidRPr="004A00F9">
        <w:rPr>
          <w:rFonts w:cstheme="minorHAnsi"/>
        </w:rPr>
        <w:t xml:space="preserve">: </w:t>
      </w:r>
      <w:r w:rsidR="004A00F9" w:rsidRPr="004A00F9">
        <w:rPr>
          <w:rFonts w:cstheme="minorHAnsi"/>
        </w:rPr>
        <w:t>f</w:t>
      </w:r>
      <w:r w:rsidRPr="004A00F9">
        <w:rPr>
          <w:rFonts w:cstheme="minorHAnsi"/>
        </w:rPr>
        <w:t>or the Contractual Rate, also known as Indexed Rate, enter what the weighted average yield would be if there were no floors or ceilings. For example, if these loans were priced at Prime plus a spread, where Prime = 8.5% and the weighted average spread is 50bps, then the Weighted Average Contractual/Indexed Rate would be 9.0%.</w:t>
      </w:r>
      <w:r w:rsidR="004A00F9">
        <w:rPr>
          <w:rFonts w:cstheme="minorHAnsi"/>
        </w:rPr>
        <w:t xml:space="preserve"> </w:t>
      </w:r>
      <w:r w:rsidRPr="004A00F9">
        <w:rPr>
          <w:rFonts w:cstheme="minorHAnsi"/>
        </w:rPr>
        <w:t>In many cases, the Weighted Average Yield and the Weighted Average Contractual/Indexed Rate may be the same. With this information, the model is trying to determine if, and when, the cash flows will change with rising rates, i.e., when will they move out of fixed (amortizing) and reprice as Floating.</w:t>
      </w:r>
    </w:p>
    <w:p w14:paraId="71E87104" w14:textId="10A182A8" w:rsidR="001803A2" w:rsidRPr="00ED5869" w:rsidRDefault="001803A2" w:rsidP="001803A2">
      <w:pPr>
        <w:pStyle w:val="ListParagraph"/>
        <w:numPr>
          <w:ilvl w:val="0"/>
          <w:numId w:val="30"/>
        </w:numPr>
        <w:tabs>
          <w:tab w:val="left" w:pos="1080"/>
        </w:tabs>
        <w:spacing w:after="0"/>
        <w:ind w:right="80"/>
        <w:rPr>
          <w:rFonts w:cstheme="minorHAnsi"/>
        </w:rPr>
      </w:pPr>
      <w:r w:rsidRPr="00ED5869">
        <w:rPr>
          <w:rFonts w:cstheme="minorHAnsi"/>
        </w:rPr>
        <w:lastRenderedPageBreak/>
        <w:t xml:space="preserve">The weighted average contractual (indexed) rate </w:t>
      </w:r>
      <w:r w:rsidR="00D365BA">
        <w:rPr>
          <w:rFonts w:cstheme="minorHAnsi"/>
        </w:rPr>
        <w:t xml:space="preserve">for floating loans above floor </w:t>
      </w:r>
      <w:r w:rsidRPr="00ED5869">
        <w:rPr>
          <w:rFonts w:cstheme="minorHAnsi"/>
        </w:rPr>
        <w:t>should be higher than the floor rate as they are not yet at their floor</w:t>
      </w:r>
    </w:p>
    <w:p w14:paraId="7D449113" w14:textId="77777777" w:rsidR="001803A2" w:rsidRPr="00ED5869" w:rsidRDefault="001803A2" w:rsidP="001803A2">
      <w:pPr>
        <w:tabs>
          <w:tab w:val="left" w:pos="1080"/>
        </w:tabs>
        <w:spacing w:after="0"/>
        <w:ind w:right="80"/>
        <w:rPr>
          <w:rFonts w:cstheme="minorHAnsi"/>
        </w:rPr>
      </w:pPr>
    </w:p>
    <w:p w14:paraId="6FE92E36" w14:textId="1A85B790" w:rsidR="001803A2" w:rsidRPr="004A00F9" w:rsidRDefault="001803A2" w:rsidP="004A00F9">
      <w:pPr>
        <w:pStyle w:val="ListParagraph"/>
        <w:numPr>
          <w:ilvl w:val="0"/>
          <w:numId w:val="58"/>
        </w:numPr>
        <w:tabs>
          <w:tab w:val="left" w:pos="1080"/>
        </w:tabs>
        <w:spacing w:after="0"/>
        <w:ind w:right="80"/>
        <w:rPr>
          <w:rFonts w:cstheme="minorHAnsi"/>
        </w:rPr>
      </w:pPr>
      <w:r w:rsidRPr="004A00F9">
        <w:rPr>
          <w:rFonts w:cstheme="minorHAnsi"/>
          <w:b/>
          <w:bCs/>
        </w:rPr>
        <w:t>Floating Loans At their Floor</w:t>
      </w:r>
      <w:r w:rsidR="004A00F9" w:rsidRPr="004A00F9">
        <w:rPr>
          <w:rFonts w:cstheme="minorHAnsi"/>
        </w:rPr>
        <w:t>: This</w:t>
      </w:r>
      <w:r w:rsidRPr="004A00F9">
        <w:rPr>
          <w:rFonts w:cstheme="minorHAnsi"/>
        </w:rPr>
        <w:t xml:space="preserve"> assumption allows you to break out floating loans currently at their floor, reported as Fixed in your call report, so that during a rate shock simulation, RiskGPS will allow these volumes to reprice again when the rates exceed the current floor. This will have a favorable impact </w:t>
      </w:r>
      <w:r w:rsidR="00D365BA" w:rsidRPr="004A00F9">
        <w:rPr>
          <w:rFonts w:cstheme="minorHAnsi"/>
        </w:rPr>
        <w:t>on</w:t>
      </w:r>
      <w:r w:rsidRPr="004A00F9">
        <w:rPr>
          <w:rFonts w:cstheme="minorHAnsi"/>
        </w:rPr>
        <w:t xml:space="preserve"> interest in a rising rate shock environment.</w:t>
      </w:r>
    </w:p>
    <w:p w14:paraId="5F9ECC3F" w14:textId="7A8B322D" w:rsidR="001803A2" w:rsidRPr="00ED5869" w:rsidRDefault="001803A2" w:rsidP="001803A2">
      <w:pPr>
        <w:pStyle w:val="ListParagraph"/>
        <w:numPr>
          <w:ilvl w:val="0"/>
          <w:numId w:val="30"/>
        </w:numPr>
        <w:tabs>
          <w:tab w:val="left" w:pos="1080"/>
        </w:tabs>
        <w:spacing w:after="0"/>
        <w:ind w:right="80"/>
        <w:rPr>
          <w:rFonts w:cstheme="minorHAnsi"/>
        </w:rPr>
      </w:pPr>
      <w:r w:rsidRPr="00ED5869">
        <w:rPr>
          <w:rFonts w:cstheme="minorHAnsi"/>
        </w:rPr>
        <w:t>The weighted average contractual (indexed) rate</w:t>
      </w:r>
      <w:r w:rsidR="00D365BA">
        <w:rPr>
          <w:rFonts w:cstheme="minorHAnsi"/>
        </w:rPr>
        <w:t xml:space="preserve"> for floating loans at their floor</w:t>
      </w:r>
      <w:r w:rsidRPr="00ED5869">
        <w:rPr>
          <w:rFonts w:cstheme="minorHAnsi"/>
        </w:rPr>
        <w:t xml:space="preserve"> should be at or lower than the floor rate as they are currently at their floor</w:t>
      </w:r>
    </w:p>
    <w:p w14:paraId="6B699017" w14:textId="77777777" w:rsidR="004A00F9" w:rsidRDefault="004A00F9" w:rsidP="004A00F9">
      <w:pPr>
        <w:spacing w:after="0"/>
        <w:ind w:right="80"/>
        <w:rPr>
          <w:rFonts w:cstheme="minorHAnsi"/>
          <w:i/>
          <w:iCs/>
        </w:rPr>
      </w:pPr>
    </w:p>
    <w:p w14:paraId="5620EA1F" w14:textId="250C35F6" w:rsidR="001803A2" w:rsidRPr="00ED5869" w:rsidRDefault="001803A2" w:rsidP="001803A2">
      <w:pPr>
        <w:spacing w:after="0"/>
        <w:ind w:right="86"/>
        <w:rPr>
          <w:rFonts w:cstheme="minorHAnsi"/>
        </w:rPr>
      </w:pPr>
      <w:r w:rsidRPr="004A00F9">
        <w:rPr>
          <w:rFonts w:cstheme="minorHAnsi"/>
          <w:b/>
          <w:bCs/>
        </w:rPr>
        <w:t>Adjustable Rate Mortgages (ARMs)</w:t>
      </w:r>
      <w:r w:rsidRPr="00ED5869">
        <w:rPr>
          <w:rFonts w:cstheme="minorHAnsi"/>
        </w:rPr>
        <w:t xml:space="preserve">: If entered, RiskGPS will use the data you've supplied to reprice volumes </w:t>
      </w:r>
      <w:r w:rsidR="004A00F9" w:rsidRPr="00ED5869">
        <w:rPr>
          <w:rFonts w:cstheme="minorHAnsi"/>
        </w:rPr>
        <w:t>in</w:t>
      </w:r>
      <w:r w:rsidRPr="00ED5869">
        <w:rPr>
          <w:rFonts w:cstheme="minorHAnsi"/>
        </w:rPr>
        <w:t xml:space="preserve"> the middle of the time bucket in which they are entered, in their entirety, while being held to their Floor or Ceiling. The model will total the volumes and verify that the ARM and Fixed values equal the total RE 1-4 family values you entered on your most recent Call Report.</w:t>
      </w:r>
      <w:r w:rsidR="005F17C5">
        <w:rPr>
          <w:rFonts w:cstheme="minorHAnsi"/>
        </w:rPr>
        <w:t xml:space="preserve"> </w:t>
      </w:r>
      <w:r w:rsidR="005F17C5" w:rsidRPr="00ED5869">
        <w:rPr>
          <w:rFonts w:cstheme="minorHAnsi"/>
        </w:rPr>
        <w:t>Note: The volume in each period cannot exceed the total amount of that same period in the Call Report.</w:t>
      </w:r>
    </w:p>
    <w:p w14:paraId="4A6A8E6F" w14:textId="77777777" w:rsidR="004A00F9" w:rsidRDefault="001803A2" w:rsidP="001803A2">
      <w:pPr>
        <w:pStyle w:val="ListParagraph"/>
        <w:numPr>
          <w:ilvl w:val="0"/>
          <w:numId w:val="30"/>
        </w:numPr>
        <w:spacing w:after="0"/>
        <w:ind w:right="86"/>
        <w:rPr>
          <w:rFonts w:cstheme="minorHAnsi"/>
        </w:rPr>
      </w:pPr>
      <w:r w:rsidRPr="004A00F9">
        <w:rPr>
          <w:rFonts w:cstheme="minorHAnsi"/>
          <w:b/>
          <w:bCs/>
        </w:rPr>
        <w:t>Weighted Average Contractual (Indexed) Rate:</w:t>
      </w:r>
      <w:r w:rsidRPr="004A00F9">
        <w:rPr>
          <w:rFonts w:cstheme="minorHAnsi"/>
        </w:rPr>
        <w:t xml:space="preserve"> this line enables you to define what the ARM balance is currently earning (when it is between the Floor and Ceiling), or what rate the ARMs would be earning if they were not currently at the Floor or Ceiling.</w:t>
      </w:r>
    </w:p>
    <w:p w14:paraId="601589D3" w14:textId="420B6691" w:rsidR="001803A2" w:rsidRPr="004A00F9" w:rsidRDefault="001803A2" w:rsidP="001803A2">
      <w:pPr>
        <w:pStyle w:val="ListParagraph"/>
        <w:numPr>
          <w:ilvl w:val="0"/>
          <w:numId w:val="30"/>
        </w:numPr>
        <w:spacing w:after="0"/>
        <w:ind w:right="86"/>
        <w:rPr>
          <w:rFonts w:cstheme="minorHAnsi"/>
        </w:rPr>
      </w:pPr>
      <w:r w:rsidRPr="004A00F9">
        <w:rPr>
          <w:rFonts w:cstheme="minorHAnsi"/>
        </w:rPr>
        <w:t xml:space="preserve">Entering this data will provide the model with the detail needed to better analyze the impact of these </w:t>
      </w:r>
      <w:proofErr w:type="spellStart"/>
      <w:r w:rsidRPr="004A00F9">
        <w:rPr>
          <w:rFonts w:cstheme="minorHAnsi"/>
        </w:rPr>
        <w:t>repricings</w:t>
      </w:r>
      <w:proofErr w:type="spellEnd"/>
      <w:r w:rsidRPr="004A00F9">
        <w:rPr>
          <w:rFonts w:cstheme="minorHAnsi"/>
        </w:rPr>
        <w:t xml:space="preserve"> on Margin and Economic Value of Equity (EVE).</w:t>
      </w:r>
    </w:p>
    <w:p w14:paraId="355557CB" w14:textId="77777777" w:rsidR="001803A2" w:rsidRPr="00ED5869" w:rsidRDefault="001803A2" w:rsidP="001803A2">
      <w:pPr>
        <w:spacing w:after="0"/>
        <w:ind w:right="86"/>
        <w:rPr>
          <w:rFonts w:cstheme="minorHAnsi"/>
        </w:rPr>
      </w:pPr>
    </w:p>
    <w:p w14:paraId="0640336D" w14:textId="77777777" w:rsidR="004A00F9" w:rsidRDefault="004A00F9" w:rsidP="001803A2">
      <w:pPr>
        <w:spacing w:after="0"/>
        <w:ind w:right="86"/>
        <w:rPr>
          <w:rFonts w:cstheme="minorHAnsi"/>
          <w:b/>
          <w:bCs/>
        </w:rPr>
      </w:pPr>
      <w:r>
        <w:rPr>
          <w:rFonts w:cstheme="minorHAnsi"/>
          <w:b/>
          <w:bCs/>
        </w:rPr>
        <w:t>Amortize Loans? Setting</w:t>
      </w:r>
    </w:p>
    <w:p w14:paraId="644826D0" w14:textId="47DDF3E8" w:rsidR="001803A2" w:rsidRPr="00ED5869" w:rsidRDefault="001803A2" w:rsidP="001803A2">
      <w:pPr>
        <w:spacing w:after="0"/>
        <w:ind w:right="86"/>
        <w:rPr>
          <w:rFonts w:cstheme="minorHAnsi"/>
        </w:rPr>
      </w:pPr>
      <w:r w:rsidRPr="00ED5869">
        <w:rPr>
          <w:rFonts w:cstheme="minorHAnsi"/>
        </w:rPr>
        <w:t>If your maturity data is recorded in the Call Report at its final maturity date (full term), th</w:t>
      </w:r>
      <w:r w:rsidR="004A00F9">
        <w:rPr>
          <w:rFonts w:cstheme="minorHAnsi"/>
        </w:rPr>
        <w:t xml:space="preserve">e Loan Amortization </w:t>
      </w:r>
      <w:r w:rsidRPr="00ED5869">
        <w:rPr>
          <w:rFonts w:cstheme="minorHAnsi"/>
        </w:rPr>
        <w:t>feature allows RiskGPS to modify those maturities</w:t>
      </w:r>
      <w:r w:rsidR="002A4182">
        <w:rPr>
          <w:rFonts w:cstheme="minorHAnsi"/>
        </w:rPr>
        <w:t xml:space="preserve"> by s</w:t>
      </w:r>
      <w:r w:rsidR="004A00F9">
        <w:rPr>
          <w:rFonts w:cstheme="minorHAnsi"/>
        </w:rPr>
        <w:t>elect</w:t>
      </w:r>
      <w:r w:rsidR="002A4182">
        <w:rPr>
          <w:rFonts w:cstheme="minorHAnsi"/>
        </w:rPr>
        <w:t>ing</w:t>
      </w:r>
      <w:r w:rsidRPr="00ED5869">
        <w:rPr>
          <w:rFonts w:cstheme="minorHAnsi"/>
        </w:rPr>
        <w:t xml:space="preserve"> the “Yes” option next to ‘Amortize Loans?'. If your loan portfolio consists </w:t>
      </w:r>
      <w:r w:rsidR="004A00F9">
        <w:rPr>
          <w:rFonts w:cstheme="minorHAnsi"/>
        </w:rPr>
        <w:t>mostly</w:t>
      </w:r>
      <w:r w:rsidRPr="00ED5869">
        <w:rPr>
          <w:rFonts w:cstheme="minorHAnsi"/>
        </w:rPr>
        <w:t xml:space="preserve"> of repriceable loans and you record their maturities at their first repricing date, then select “No”. See the GAP report for original and revised maturity distributions.</w:t>
      </w:r>
    </w:p>
    <w:p w14:paraId="3F05DFC4" w14:textId="77777777" w:rsidR="001803A2" w:rsidRPr="00ED5869" w:rsidRDefault="001803A2" w:rsidP="001803A2">
      <w:pPr>
        <w:spacing w:after="0"/>
        <w:ind w:right="86"/>
        <w:rPr>
          <w:rFonts w:cstheme="minorHAnsi"/>
        </w:rPr>
      </w:pPr>
    </w:p>
    <w:p w14:paraId="5F6632C0" w14:textId="1167A55E" w:rsidR="001803A2" w:rsidRPr="00ED5869" w:rsidRDefault="001803A2" w:rsidP="001803A2">
      <w:pPr>
        <w:spacing w:after="0"/>
        <w:ind w:right="86"/>
        <w:rPr>
          <w:rFonts w:cstheme="minorHAnsi"/>
        </w:rPr>
      </w:pPr>
      <w:r w:rsidRPr="004A00F9">
        <w:rPr>
          <w:rFonts w:cstheme="minorHAnsi"/>
          <w:b/>
          <w:bCs/>
        </w:rPr>
        <w:t>Loan Prepayment Percentages (CPR) at various rate levels</w:t>
      </w:r>
      <w:r w:rsidR="004A00F9">
        <w:rPr>
          <w:rFonts w:cstheme="minorHAnsi"/>
          <w:b/>
          <w:bCs/>
        </w:rPr>
        <w:t xml:space="preserve"> (applies to all loans and mortgage backed securities)</w:t>
      </w:r>
    </w:p>
    <w:p w14:paraId="7A2F26BE" w14:textId="0F24A0EE" w:rsidR="001803A2" w:rsidRPr="00ED5869" w:rsidRDefault="001803A2" w:rsidP="004A00F9">
      <w:pPr>
        <w:spacing w:after="0"/>
        <w:ind w:right="86"/>
        <w:rPr>
          <w:rFonts w:cstheme="minorHAnsi"/>
        </w:rPr>
      </w:pPr>
      <w:r w:rsidRPr="00ED5869">
        <w:rPr>
          <w:rFonts w:cstheme="minorHAnsi"/>
        </w:rPr>
        <w:t xml:space="preserve">Plansmith defaults for </w:t>
      </w:r>
      <w:r w:rsidRPr="00234983">
        <w:rPr>
          <w:rFonts w:cstheme="minorHAnsi"/>
          <w:b/>
          <w:bCs/>
        </w:rPr>
        <w:t>Prepayment Assumptions</w:t>
      </w:r>
      <w:r w:rsidRPr="00ED5869">
        <w:rPr>
          <w:rFonts w:cstheme="minorHAnsi"/>
        </w:rPr>
        <w:t xml:space="preserve"> are estimates based on Plansmith’s analysis of recent industry client data. The user should review these assumptions and make changes appropriate to their bank’s risk profile and to market conditions. </w:t>
      </w:r>
      <w:r w:rsidRPr="004A00F9">
        <w:rPr>
          <w:rFonts w:cstheme="minorHAnsi"/>
          <w:i/>
          <w:iCs/>
        </w:rPr>
        <w:t xml:space="preserve">It is highly recommended that </w:t>
      </w:r>
      <w:r w:rsidR="004A00F9" w:rsidRPr="004A00F9">
        <w:rPr>
          <w:rFonts w:cstheme="minorHAnsi"/>
          <w:i/>
          <w:iCs/>
        </w:rPr>
        <w:t>you run</w:t>
      </w:r>
      <w:r w:rsidRPr="004A00F9">
        <w:rPr>
          <w:rFonts w:cstheme="minorHAnsi"/>
          <w:i/>
          <w:iCs/>
        </w:rPr>
        <w:t xml:space="preserve"> alternative prepayment scenarios to analyze the impact on results due to assumption changes</w:t>
      </w:r>
      <w:r w:rsidRPr="00ED5869">
        <w:rPr>
          <w:rFonts w:cstheme="minorHAnsi"/>
        </w:rPr>
        <w:t>. Note</w:t>
      </w:r>
      <w:r w:rsidR="004A00F9" w:rsidRPr="00ED5869">
        <w:rPr>
          <w:rFonts w:cstheme="minorHAnsi"/>
        </w:rPr>
        <w:t>: If</w:t>
      </w:r>
      <w:r w:rsidRPr="00ED5869">
        <w:rPr>
          <w:rFonts w:cstheme="minorHAnsi"/>
        </w:rPr>
        <w:t xml:space="preserve"> changing the default settings, it is important that you document the reasoning or methodology behind the assumption changes. </w:t>
      </w:r>
      <w:r w:rsidRPr="00E920EF">
        <w:rPr>
          <w:rFonts w:cstheme="minorHAnsi"/>
          <w:i/>
          <w:iCs/>
        </w:rPr>
        <w:t>Prepayments will reprice at the current Loan Yield, or the User Defined Discount/Avg. Rate on New Loans, located at the top of the Loan Assumption entry form.</w:t>
      </w:r>
    </w:p>
    <w:p w14:paraId="7DEE4ECA" w14:textId="77777777" w:rsidR="001803A2" w:rsidRPr="00ED5869" w:rsidRDefault="001803A2" w:rsidP="001803A2">
      <w:pPr>
        <w:spacing w:after="0"/>
        <w:ind w:right="80"/>
        <w:rPr>
          <w:rFonts w:cstheme="minorHAnsi"/>
          <w:position w:val="-1"/>
          <w:u w:val="single" w:color="000000"/>
        </w:rPr>
      </w:pPr>
    </w:p>
    <w:p w14:paraId="3A51A0AE" w14:textId="77777777" w:rsidR="001803A2" w:rsidRPr="00ED5869" w:rsidRDefault="001803A2" w:rsidP="001803A2">
      <w:pPr>
        <w:spacing w:after="0"/>
        <w:ind w:right="80"/>
        <w:rPr>
          <w:rFonts w:cstheme="minorHAnsi"/>
        </w:rPr>
      </w:pPr>
      <w:r w:rsidRPr="00ED5869">
        <w:rPr>
          <w:rFonts w:cstheme="minorHAnsi"/>
          <w:position w:val="-1"/>
          <w:u w:val="single" w:color="000000"/>
        </w:rPr>
        <w:t>Example of the method to estimate Immediate Repriceable loans:</w:t>
      </w:r>
    </w:p>
    <w:p w14:paraId="4E802D35" w14:textId="309AFD8F" w:rsidR="001803A2" w:rsidRPr="00ED5869" w:rsidRDefault="001803A2" w:rsidP="001803A2">
      <w:pPr>
        <w:spacing w:after="0"/>
        <w:ind w:right="80"/>
        <w:rPr>
          <w:rFonts w:cstheme="minorHAnsi"/>
        </w:rPr>
      </w:pPr>
      <w:r w:rsidRPr="00ED5869">
        <w:rPr>
          <w:rFonts w:cstheme="minorHAnsi"/>
        </w:rPr>
        <w:t xml:space="preserve">Loan maturities reported in your FFIEC Call Report for the first two years are grouped into the following time buckets: 1-3-month, 3-12 </w:t>
      </w:r>
      <w:r w:rsidR="00E920EF" w:rsidRPr="00ED5869">
        <w:rPr>
          <w:rFonts w:cstheme="minorHAnsi"/>
        </w:rPr>
        <w:t>months</w:t>
      </w:r>
      <w:r w:rsidRPr="00ED5869">
        <w:rPr>
          <w:rFonts w:cstheme="minorHAnsi"/>
        </w:rPr>
        <w:t xml:space="preserve">, and 1-3 years. When running a Rate Shock Analysis this data </w:t>
      </w:r>
      <w:r w:rsidRPr="00ED5869">
        <w:rPr>
          <w:rFonts w:cstheme="minorHAnsi"/>
        </w:rPr>
        <w:lastRenderedPageBreak/>
        <w:t>may be missing a key element, Immediately Repricing Loans.</w:t>
      </w:r>
      <w:r w:rsidR="00E920EF">
        <w:rPr>
          <w:rFonts w:cstheme="minorHAnsi"/>
        </w:rPr>
        <w:t xml:space="preserve"> </w:t>
      </w:r>
      <w:r w:rsidRPr="00ED5869">
        <w:rPr>
          <w:rFonts w:cstheme="minorHAnsi"/>
        </w:rPr>
        <w:t xml:space="preserve">Using deductive methods, RiskGPS looks at the original maturities reported for </w:t>
      </w:r>
      <w:r w:rsidR="00E920EF" w:rsidRPr="00ED5869">
        <w:rPr>
          <w:rFonts w:cstheme="minorHAnsi"/>
        </w:rPr>
        <w:t>non-RE</w:t>
      </w:r>
      <w:r w:rsidRPr="00ED5869">
        <w:rPr>
          <w:rFonts w:cstheme="minorHAnsi"/>
        </w:rPr>
        <w:t xml:space="preserve"> loans.</w:t>
      </w:r>
    </w:p>
    <w:p w14:paraId="346911F0" w14:textId="77777777" w:rsidR="00E920EF" w:rsidRDefault="001803A2" w:rsidP="00E920EF">
      <w:pPr>
        <w:pStyle w:val="ListParagraph"/>
        <w:numPr>
          <w:ilvl w:val="0"/>
          <w:numId w:val="60"/>
        </w:numPr>
        <w:spacing w:after="0"/>
        <w:ind w:right="80"/>
        <w:rPr>
          <w:rFonts w:cstheme="minorHAnsi"/>
        </w:rPr>
      </w:pPr>
      <w:r w:rsidRPr="00E920EF">
        <w:rPr>
          <w:rFonts w:cstheme="minorHAnsi"/>
        </w:rPr>
        <w:t xml:space="preserve">We assume that the 1-3 month </w:t>
      </w:r>
      <w:r w:rsidR="00E920EF">
        <w:rPr>
          <w:rFonts w:cstheme="minorHAnsi"/>
        </w:rPr>
        <w:t xml:space="preserve">bucket </w:t>
      </w:r>
      <w:r w:rsidRPr="00E920EF">
        <w:rPr>
          <w:rFonts w:cstheme="minorHAnsi"/>
        </w:rPr>
        <w:t xml:space="preserve">contains </w:t>
      </w:r>
      <w:r w:rsidR="00E920EF" w:rsidRPr="00E920EF">
        <w:rPr>
          <w:rFonts w:cstheme="minorHAnsi"/>
        </w:rPr>
        <w:t>loans</w:t>
      </w:r>
      <w:r w:rsidR="00E920EF">
        <w:rPr>
          <w:rFonts w:cstheme="minorHAnsi"/>
        </w:rPr>
        <w:t xml:space="preserve"> repricing in the </w:t>
      </w:r>
      <w:r w:rsidRPr="00E920EF">
        <w:rPr>
          <w:rFonts w:cstheme="minorHAnsi"/>
        </w:rPr>
        <w:t>Immediate</w:t>
      </w:r>
      <w:r w:rsidR="00E920EF">
        <w:rPr>
          <w:rFonts w:cstheme="minorHAnsi"/>
        </w:rPr>
        <w:t>,</w:t>
      </w:r>
      <w:r w:rsidRPr="00E920EF">
        <w:rPr>
          <w:rFonts w:cstheme="minorHAnsi"/>
        </w:rPr>
        <w:t xml:space="preserve"> as well as any dollars maturing between 1-3 months. </w:t>
      </w:r>
    </w:p>
    <w:p w14:paraId="19181EEA" w14:textId="77777777" w:rsidR="00E920EF" w:rsidRDefault="001803A2" w:rsidP="001803A2">
      <w:pPr>
        <w:pStyle w:val="ListParagraph"/>
        <w:numPr>
          <w:ilvl w:val="0"/>
          <w:numId w:val="60"/>
        </w:numPr>
        <w:spacing w:after="0"/>
        <w:ind w:right="80"/>
        <w:rPr>
          <w:rFonts w:cstheme="minorHAnsi"/>
        </w:rPr>
      </w:pPr>
      <w:r w:rsidRPr="00E920EF">
        <w:rPr>
          <w:rFonts w:cstheme="minorHAnsi"/>
        </w:rPr>
        <w:t xml:space="preserve">We can also assume that the payments expected for the 3-12-month bucket are </w:t>
      </w:r>
      <w:proofErr w:type="gramStart"/>
      <w:r w:rsidRPr="00E920EF">
        <w:rPr>
          <w:rFonts w:cstheme="minorHAnsi"/>
        </w:rPr>
        <w:t>fairly close</w:t>
      </w:r>
      <w:proofErr w:type="gramEnd"/>
      <w:r w:rsidRPr="00E920EF">
        <w:rPr>
          <w:rFonts w:cstheme="minorHAnsi"/>
        </w:rPr>
        <w:t xml:space="preserve"> to those payments made in the previous period.</w:t>
      </w:r>
    </w:p>
    <w:p w14:paraId="5C767B70" w14:textId="77777777" w:rsidR="00E920EF" w:rsidRDefault="001803A2" w:rsidP="001803A2">
      <w:pPr>
        <w:pStyle w:val="ListParagraph"/>
        <w:numPr>
          <w:ilvl w:val="0"/>
          <w:numId w:val="60"/>
        </w:numPr>
        <w:spacing w:after="0"/>
        <w:ind w:right="80"/>
        <w:rPr>
          <w:rFonts w:cstheme="minorHAnsi"/>
        </w:rPr>
      </w:pPr>
      <w:r w:rsidRPr="00E920EF">
        <w:rPr>
          <w:rFonts w:cstheme="minorHAnsi"/>
        </w:rPr>
        <w:t>Therefore, we divide the 3-12-month bucket by 3 to estimate one quarter of maturity payments.</w:t>
      </w:r>
      <w:r w:rsidR="00E920EF">
        <w:rPr>
          <w:rFonts w:cstheme="minorHAnsi"/>
        </w:rPr>
        <w:t xml:space="preserve"> </w:t>
      </w:r>
    </w:p>
    <w:p w14:paraId="0109AA0D" w14:textId="42C3613F" w:rsidR="001803A2" w:rsidRPr="00E920EF" w:rsidRDefault="00E920EF" w:rsidP="001803A2">
      <w:pPr>
        <w:pStyle w:val="ListParagraph"/>
        <w:numPr>
          <w:ilvl w:val="0"/>
          <w:numId w:val="60"/>
        </w:numPr>
        <w:spacing w:after="0"/>
        <w:ind w:right="80"/>
        <w:rPr>
          <w:rFonts w:cstheme="minorHAnsi"/>
        </w:rPr>
      </w:pPr>
      <w:r w:rsidRPr="00E920EF">
        <w:rPr>
          <w:rFonts w:cstheme="minorHAnsi"/>
        </w:rPr>
        <w:t>If</w:t>
      </w:r>
      <w:r w:rsidR="001803A2" w:rsidRPr="00E920EF">
        <w:rPr>
          <w:rFonts w:cstheme="minorHAnsi"/>
        </w:rPr>
        <w:t xml:space="preserve"> then, that same amount represents one quarter of maturity data in the 1-3-month bucket, then we can deduct it leaving us with the amount that is most likely Immediately Repriceable.</w:t>
      </w:r>
    </w:p>
    <w:p w14:paraId="5049C3D0" w14:textId="77777777" w:rsidR="00234983" w:rsidRDefault="004A00F9" w:rsidP="001803A2">
      <w:pPr>
        <w:spacing w:after="0"/>
        <w:ind w:right="80"/>
        <w:rPr>
          <w:rFonts w:cstheme="minorHAnsi"/>
          <w:b/>
          <w:bCs/>
          <w:caps/>
        </w:rPr>
      </w:pPr>
      <w:r>
        <w:rPr>
          <w:rFonts w:cstheme="minorHAnsi"/>
        </w:rPr>
        <w:br/>
      </w:r>
    </w:p>
    <w:p w14:paraId="79D688A2" w14:textId="25C6A236" w:rsidR="001803A2" w:rsidRPr="00E920EF" w:rsidRDefault="001803A2" w:rsidP="001803A2">
      <w:pPr>
        <w:spacing w:after="0"/>
        <w:ind w:right="80"/>
        <w:rPr>
          <w:rFonts w:cstheme="minorHAnsi"/>
          <w:b/>
          <w:bCs/>
          <w:caps/>
        </w:rPr>
      </w:pPr>
      <w:r w:rsidRPr="00E920EF">
        <w:rPr>
          <w:rFonts w:cstheme="minorHAnsi"/>
          <w:b/>
          <w:bCs/>
          <w:caps/>
        </w:rPr>
        <w:t>Securities Assumptions</w:t>
      </w:r>
    </w:p>
    <w:p w14:paraId="3644B0B4" w14:textId="77777777" w:rsidR="001803A2" w:rsidRPr="00ED5869" w:rsidRDefault="001803A2" w:rsidP="001803A2">
      <w:pPr>
        <w:spacing w:after="0"/>
        <w:ind w:right="80"/>
        <w:rPr>
          <w:rFonts w:cstheme="minorHAnsi"/>
        </w:rPr>
      </w:pPr>
      <w:r w:rsidRPr="00ED5869">
        <w:rPr>
          <w:rFonts w:cstheme="minorHAnsi"/>
        </w:rPr>
        <w:t>Security cash flows are divided into several categories:  U.S. Government Securities, US Agency   Securities, State &amp; Political, Mortgage Backs &amp; Other Debt Securities. Treasury and Municipal Securities are reported as bullet bonds using only the stated maturities.</w:t>
      </w:r>
    </w:p>
    <w:p w14:paraId="043BBAFE" w14:textId="77777777" w:rsidR="001803A2" w:rsidRPr="00ED5869" w:rsidRDefault="001803A2" w:rsidP="001803A2">
      <w:pPr>
        <w:spacing w:after="0"/>
        <w:ind w:right="80"/>
        <w:rPr>
          <w:rFonts w:cstheme="minorHAnsi"/>
        </w:rPr>
      </w:pPr>
    </w:p>
    <w:p w14:paraId="5EB4AD73" w14:textId="0796CF40" w:rsidR="001803A2" w:rsidRPr="00ED5869" w:rsidRDefault="001803A2" w:rsidP="001803A2">
      <w:pPr>
        <w:spacing w:after="0"/>
        <w:ind w:right="80"/>
        <w:rPr>
          <w:rFonts w:cstheme="minorHAnsi"/>
        </w:rPr>
      </w:pPr>
      <w:r w:rsidRPr="00ED5869">
        <w:rPr>
          <w:rFonts w:cstheme="minorHAnsi"/>
        </w:rPr>
        <w:t>Regarding the Default assumptions and the User Defined Options available:</w:t>
      </w:r>
      <w:r w:rsidR="00E920EF">
        <w:rPr>
          <w:rFonts w:cstheme="minorHAnsi"/>
        </w:rPr>
        <w:t xml:space="preserve"> </w:t>
      </w:r>
      <w:r w:rsidRPr="00ED5869">
        <w:rPr>
          <w:rFonts w:cstheme="minorHAnsi"/>
        </w:rPr>
        <w:t>Maturity of Interest Bearing Deposits in Other Banks, Reverse Repo Maturities, and Repurchase Agreements will default to 6 months. Remember</w:t>
      </w:r>
      <w:r w:rsidR="00E920EF">
        <w:rPr>
          <w:rFonts w:cstheme="minorHAnsi"/>
        </w:rPr>
        <w:t>,</w:t>
      </w:r>
      <w:r w:rsidRPr="00ED5869">
        <w:rPr>
          <w:rFonts w:cstheme="minorHAnsi"/>
        </w:rPr>
        <w:t xml:space="preserve"> if the User Defined area remains blank, </w:t>
      </w:r>
      <w:r w:rsidR="00E920EF">
        <w:rPr>
          <w:rFonts w:cstheme="minorHAnsi"/>
        </w:rPr>
        <w:t>RiskGPS</w:t>
      </w:r>
      <w:r w:rsidRPr="00ED5869">
        <w:rPr>
          <w:rFonts w:cstheme="minorHAnsi"/>
        </w:rPr>
        <w:t xml:space="preserve"> will use the default information. If you wish to change the maturity, enter the number of months each type is most likely to be held for. If you do not have any balances in these categories, no action is necessary.</w:t>
      </w:r>
    </w:p>
    <w:p w14:paraId="546EFB47" w14:textId="77777777" w:rsidR="001803A2" w:rsidRPr="00ED5869" w:rsidRDefault="001803A2" w:rsidP="001803A2">
      <w:pPr>
        <w:spacing w:after="0"/>
        <w:ind w:right="80"/>
        <w:rPr>
          <w:rFonts w:cstheme="minorHAnsi"/>
        </w:rPr>
      </w:pPr>
    </w:p>
    <w:p w14:paraId="30206C70" w14:textId="77777777" w:rsidR="00E920EF" w:rsidRPr="00E920EF" w:rsidRDefault="001803A2" w:rsidP="001803A2">
      <w:pPr>
        <w:spacing w:after="0"/>
        <w:ind w:right="80"/>
        <w:rPr>
          <w:rFonts w:cstheme="minorHAnsi"/>
          <w:b/>
          <w:bCs/>
        </w:rPr>
      </w:pPr>
      <w:r w:rsidRPr="00E920EF">
        <w:rPr>
          <w:rFonts w:cstheme="minorHAnsi"/>
          <w:b/>
          <w:bCs/>
        </w:rPr>
        <w:t>US Agency Callable Percentage</w:t>
      </w:r>
    </w:p>
    <w:p w14:paraId="71767473" w14:textId="69E9243F" w:rsidR="001803A2" w:rsidRPr="00ED5869" w:rsidRDefault="001803A2" w:rsidP="001803A2">
      <w:pPr>
        <w:spacing w:after="0"/>
        <w:ind w:right="80"/>
        <w:rPr>
          <w:rFonts w:cstheme="minorHAnsi"/>
        </w:rPr>
      </w:pPr>
      <w:r w:rsidRPr="00ED5869">
        <w:rPr>
          <w:rFonts w:cstheme="minorHAnsi"/>
        </w:rPr>
        <w:t>You may adjust the callable values in one of two ways:</w:t>
      </w:r>
    </w:p>
    <w:p w14:paraId="685E46F4" w14:textId="77777777" w:rsidR="001803A2" w:rsidRPr="00ED5869" w:rsidRDefault="001803A2" w:rsidP="001803A2">
      <w:pPr>
        <w:spacing w:after="0"/>
        <w:ind w:right="80"/>
        <w:rPr>
          <w:rFonts w:cstheme="minorHAnsi"/>
        </w:rPr>
      </w:pPr>
      <w:r w:rsidRPr="00ED5869">
        <w:rPr>
          <w:rFonts w:cstheme="minorHAnsi"/>
        </w:rPr>
        <w:t>a)    Edit the Spread / Percentage Called</w:t>
      </w:r>
    </w:p>
    <w:p w14:paraId="03D4DD21" w14:textId="77777777" w:rsidR="001803A2" w:rsidRPr="00ED5869" w:rsidRDefault="001803A2" w:rsidP="001803A2">
      <w:pPr>
        <w:spacing w:after="0"/>
        <w:ind w:right="80"/>
        <w:rPr>
          <w:rFonts w:cstheme="minorHAnsi"/>
        </w:rPr>
      </w:pPr>
      <w:r w:rsidRPr="00ED5869">
        <w:rPr>
          <w:rFonts w:cstheme="minorHAnsi"/>
        </w:rPr>
        <w:t>b)    Edit the maturity distribution brought forward from the Call Report</w:t>
      </w:r>
    </w:p>
    <w:p w14:paraId="5406B0FE" w14:textId="66ECDF93" w:rsidR="001803A2" w:rsidRPr="00E920EF" w:rsidRDefault="00E920EF" w:rsidP="001803A2">
      <w:pPr>
        <w:spacing w:after="0"/>
        <w:ind w:right="80"/>
        <w:rPr>
          <w:rFonts w:cstheme="minorHAnsi"/>
          <w:i/>
          <w:iCs/>
        </w:rPr>
      </w:pPr>
      <w:r>
        <w:rPr>
          <w:rFonts w:cstheme="minorHAnsi"/>
        </w:rPr>
        <w:br/>
      </w:r>
      <w:r w:rsidR="001803A2" w:rsidRPr="00E920EF">
        <w:rPr>
          <w:rFonts w:cstheme="minorHAnsi"/>
          <w:i/>
          <w:iCs/>
        </w:rPr>
        <w:t>US Government Agency Security maturities can have contractual callable options. This assumption allows you to estimate the percentage of your portfolio that has contractual calls, and to identify the average spread (rate drop) in which it would produce the call. RiskGPS will default to 50% of the portfolio at a 50bp rate change.</w:t>
      </w:r>
      <w:r w:rsidRPr="00E920EF">
        <w:rPr>
          <w:rFonts w:cstheme="minorHAnsi"/>
          <w:i/>
          <w:iCs/>
        </w:rPr>
        <w:t xml:space="preserve"> </w:t>
      </w:r>
      <w:r w:rsidR="001803A2" w:rsidRPr="00E920EF">
        <w:rPr>
          <w:rFonts w:cstheme="minorHAnsi"/>
          <w:i/>
          <w:iCs/>
        </w:rPr>
        <w:t>Using this estimate, the system subtracts 50bp from the current Agency yield and compares that to the current 2-Yr Treasury Bill Rate (see Performance Forecast). If the Agency yield is higher, 50% of the Agency balances will be called and placed in the 1-3-month maturity category. This relationship is dynamic and will change as the rate levels adjust during Rate Shock Simulation.</w:t>
      </w:r>
    </w:p>
    <w:p w14:paraId="1FC0E714" w14:textId="77777777" w:rsidR="001803A2" w:rsidRPr="00ED5869" w:rsidRDefault="001803A2" w:rsidP="001803A2">
      <w:pPr>
        <w:spacing w:after="0"/>
        <w:ind w:right="80"/>
        <w:rPr>
          <w:rFonts w:cstheme="minorHAnsi"/>
        </w:rPr>
      </w:pPr>
    </w:p>
    <w:p w14:paraId="7BD1593E" w14:textId="37ABBA57" w:rsidR="001803A2" w:rsidRPr="00ED5869" w:rsidRDefault="001803A2" w:rsidP="001803A2">
      <w:pPr>
        <w:spacing w:after="0"/>
        <w:ind w:right="80"/>
        <w:rPr>
          <w:rFonts w:cstheme="minorHAnsi"/>
        </w:rPr>
      </w:pPr>
      <w:r w:rsidRPr="00ED5869">
        <w:rPr>
          <w:rFonts w:cstheme="minorHAnsi"/>
        </w:rPr>
        <w:t>Editing the maturity distribution will take precedence over the percentage option. If editing the maturity distribution in any given line, you must complete the entire line of information.</w:t>
      </w:r>
      <w:r w:rsidR="00E920EF">
        <w:rPr>
          <w:rFonts w:cstheme="minorHAnsi"/>
        </w:rPr>
        <w:t xml:space="preserve"> </w:t>
      </w:r>
      <w:r w:rsidRPr="00ED5869">
        <w:rPr>
          <w:rFonts w:cstheme="minorHAnsi"/>
        </w:rPr>
        <w:t xml:space="preserve">If the sum of the maturities from the maturity data does not equal the balance on the balance sheet, then the program will put the difference into the &gt;15-year bucket on the Gap Report. Typically, these differences </w:t>
      </w:r>
      <w:r w:rsidRPr="00ED5869">
        <w:rPr>
          <w:rFonts w:cstheme="minorHAnsi"/>
        </w:rPr>
        <w:lastRenderedPageBreak/>
        <w:t>are due to other investment securities without maturities that must be accounted for later in the market value calculation.</w:t>
      </w:r>
    </w:p>
    <w:p w14:paraId="29599649" w14:textId="77777777" w:rsidR="001803A2" w:rsidRPr="00ED5869" w:rsidRDefault="001803A2" w:rsidP="001803A2">
      <w:pPr>
        <w:spacing w:after="0"/>
        <w:ind w:right="80"/>
        <w:rPr>
          <w:rFonts w:cstheme="minorHAnsi"/>
        </w:rPr>
      </w:pPr>
    </w:p>
    <w:p w14:paraId="6CE7449C" w14:textId="77777777" w:rsidR="001803A2" w:rsidRPr="00ED5869" w:rsidRDefault="001803A2" w:rsidP="001803A2">
      <w:pPr>
        <w:spacing w:after="0"/>
        <w:ind w:right="80"/>
        <w:rPr>
          <w:rFonts w:cstheme="minorHAnsi"/>
        </w:rPr>
      </w:pPr>
      <w:r w:rsidRPr="00E920EF">
        <w:rPr>
          <w:rFonts w:cstheme="minorHAnsi"/>
          <w:b/>
          <w:bCs/>
        </w:rPr>
        <w:t>Dividends on Equity Securities</w:t>
      </w:r>
      <w:r w:rsidRPr="00ED5869">
        <w:rPr>
          <w:rFonts w:cstheme="minorHAnsi"/>
        </w:rPr>
        <w:t>: Dividends on Equity and Funds is different from normal yields on securities, in that they are not subject to rate changes and therefore are not part of the rate shock calculations. They are estimated by the program and taken from the Call Report line interest &amp; dividend income for calculating the Yield on Securities used in Rate Shock calculations.</w:t>
      </w:r>
    </w:p>
    <w:p w14:paraId="7F40098E" w14:textId="77777777" w:rsidR="001803A2" w:rsidRPr="00ED5869" w:rsidRDefault="001803A2" w:rsidP="001803A2">
      <w:pPr>
        <w:spacing w:after="0"/>
        <w:ind w:right="80"/>
        <w:rPr>
          <w:rFonts w:cstheme="minorHAnsi"/>
        </w:rPr>
      </w:pPr>
    </w:p>
    <w:p w14:paraId="56BB9A93" w14:textId="77777777" w:rsidR="001803A2" w:rsidRPr="00ED5869" w:rsidRDefault="001803A2" w:rsidP="001803A2">
      <w:pPr>
        <w:spacing w:after="0"/>
        <w:ind w:right="80"/>
        <w:rPr>
          <w:rFonts w:cstheme="minorHAnsi"/>
        </w:rPr>
      </w:pPr>
      <w:r w:rsidRPr="00ED5869">
        <w:rPr>
          <w:rFonts w:cstheme="minorHAnsi"/>
        </w:rPr>
        <w:t>Based on the default data or your adjustments to the assumptions, RiskGPS will calculate the Duration and the Market Value for your Securities Portfolio at each Shock increment.</w:t>
      </w:r>
    </w:p>
    <w:p w14:paraId="7625DB55" w14:textId="77777777" w:rsidR="001803A2" w:rsidRPr="00ED5869" w:rsidRDefault="001803A2" w:rsidP="001803A2">
      <w:pPr>
        <w:spacing w:after="0"/>
        <w:ind w:right="80"/>
        <w:rPr>
          <w:rFonts w:cstheme="minorHAnsi"/>
        </w:rPr>
      </w:pPr>
    </w:p>
    <w:p w14:paraId="1A446174" w14:textId="0E6A1315" w:rsidR="001803A2" w:rsidRPr="00ED5869" w:rsidRDefault="001803A2" w:rsidP="001803A2">
      <w:pPr>
        <w:spacing w:after="0"/>
        <w:ind w:right="80"/>
        <w:rPr>
          <w:rFonts w:cstheme="minorHAnsi"/>
        </w:rPr>
      </w:pPr>
      <w:r w:rsidRPr="00E920EF">
        <w:rPr>
          <w:rFonts w:cstheme="minorHAnsi"/>
          <w:b/>
          <w:bCs/>
        </w:rPr>
        <w:t>User Defined Market Value/Duration</w:t>
      </w:r>
      <w:r w:rsidRPr="00ED5869">
        <w:rPr>
          <w:rFonts w:cstheme="minorHAnsi"/>
        </w:rPr>
        <w:t>: You may further define your securities values by requesting a rate shock market value report from your broker and entering the values in RiskGPS. Once defined by the user, the user defined Decay values will be calculated and displayed.</w:t>
      </w:r>
      <w:r w:rsidR="00E920EF">
        <w:rPr>
          <w:rFonts w:cstheme="minorHAnsi"/>
        </w:rPr>
        <w:t xml:space="preserve"> </w:t>
      </w:r>
      <w:r w:rsidRPr="00ED5869">
        <w:rPr>
          <w:rFonts w:cstheme="minorHAnsi"/>
        </w:rPr>
        <w:t xml:space="preserve">Select ‘OK’ – to save. The system </w:t>
      </w:r>
      <w:r w:rsidRPr="00ED5869">
        <w:rPr>
          <w:rFonts w:cstheme="minorHAnsi"/>
          <w:u w:val="single" w:color="000000"/>
        </w:rPr>
        <w:t>automatically recalculates both Duration and Market Value</w:t>
      </w:r>
      <w:r w:rsidRPr="00ED5869">
        <w:rPr>
          <w:rFonts w:cstheme="minorHAnsi"/>
        </w:rPr>
        <w:t>.</w:t>
      </w:r>
    </w:p>
    <w:p w14:paraId="4C5B65F3" w14:textId="77777777" w:rsidR="001803A2" w:rsidRPr="00ED5869" w:rsidRDefault="001803A2" w:rsidP="001803A2">
      <w:pPr>
        <w:spacing w:after="0"/>
        <w:ind w:right="80"/>
        <w:rPr>
          <w:rFonts w:cstheme="minorHAnsi"/>
        </w:rPr>
      </w:pPr>
    </w:p>
    <w:p w14:paraId="30FB934B" w14:textId="77777777" w:rsidR="00E920EF" w:rsidRDefault="00E920EF" w:rsidP="001803A2">
      <w:pPr>
        <w:spacing w:after="0"/>
        <w:ind w:right="80"/>
        <w:rPr>
          <w:rFonts w:cstheme="minorHAnsi"/>
          <w:b/>
          <w:bCs/>
        </w:rPr>
      </w:pPr>
    </w:p>
    <w:p w14:paraId="6962E7B4" w14:textId="4CAC5E93" w:rsidR="001803A2" w:rsidRPr="00E920EF" w:rsidRDefault="00E920EF" w:rsidP="001803A2">
      <w:pPr>
        <w:spacing w:after="0"/>
        <w:ind w:right="80"/>
        <w:rPr>
          <w:rFonts w:cstheme="minorHAnsi"/>
          <w:b/>
          <w:bCs/>
        </w:rPr>
      </w:pPr>
      <w:r>
        <w:rPr>
          <w:rFonts w:cstheme="minorHAnsi"/>
          <w:b/>
          <w:bCs/>
        </w:rPr>
        <w:t>DEPOSIT ASSUMPTIONS</w:t>
      </w:r>
    </w:p>
    <w:p w14:paraId="125FC8B9" w14:textId="4F5A823D" w:rsidR="001803A2" w:rsidRPr="00ED5869" w:rsidRDefault="001803A2" w:rsidP="001803A2">
      <w:pPr>
        <w:spacing w:after="0"/>
        <w:ind w:right="80"/>
        <w:rPr>
          <w:rFonts w:cstheme="minorHAnsi"/>
        </w:rPr>
      </w:pPr>
      <w:r w:rsidRPr="00ED5869">
        <w:rPr>
          <w:rFonts w:cstheme="minorHAnsi"/>
        </w:rPr>
        <w:t xml:space="preserve">Based on </w:t>
      </w:r>
      <w:r w:rsidR="00E920EF">
        <w:rPr>
          <w:rFonts w:cstheme="minorHAnsi"/>
        </w:rPr>
        <w:t xml:space="preserve">your </w:t>
      </w:r>
      <w:r w:rsidRPr="00ED5869">
        <w:rPr>
          <w:rFonts w:cstheme="minorHAnsi"/>
        </w:rPr>
        <w:t xml:space="preserve">bank’s historical rate relationship to changes in the yield curve, RiskGPS will estimate bank-specific betas. </w:t>
      </w:r>
      <w:r w:rsidRPr="00E920EF">
        <w:rPr>
          <w:rFonts w:cstheme="minorHAnsi"/>
          <w:b/>
          <w:bCs/>
          <w:i/>
          <w:iCs/>
        </w:rPr>
        <w:t>Betas</w:t>
      </w:r>
      <w:r w:rsidRPr="00E920EF">
        <w:rPr>
          <w:rFonts w:cstheme="minorHAnsi"/>
          <w:i/>
          <w:iCs/>
        </w:rPr>
        <w:t xml:space="preserve"> represent the percentage of change in the bank’s interest rate for every 1.00% change in yield curve rates.</w:t>
      </w:r>
      <w:r w:rsidRPr="00ED5869">
        <w:rPr>
          <w:rFonts w:cstheme="minorHAnsi"/>
        </w:rPr>
        <w:t xml:space="preserve"> </w:t>
      </w:r>
      <w:r w:rsidR="00E920EF">
        <w:rPr>
          <w:rFonts w:cstheme="minorHAnsi"/>
        </w:rPr>
        <w:t xml:space="preserve">For example, entering a 25% in the User Defined box for Beta for Checking (Interest Bearing) tells the RiskGPS model that your bank intends to increase its interest rate by 0.25 for every 1% rise in yield curve rates. </w:t>
      </w:r>
      <w:r w:rsidRPr="00ED5869">
        <w:rPr>
          <w:rFonts w:cstheme="minorHAnsi"/>
        </w:rPr>
        <w:t xml:space="preserve">As deposit products react differently to rate change, we ask you to review and adjust the estimated Beta values </w:t>
      </w:r>
      <w:r w:rsidR="00E920EF">
        <w:rPr>
          <w:rFonts w:cstheme="minorHAnsi"/>
        </w:rPr>
        <w:t xml:space="preserve">as </w:t>
      </w:r>
      <w:r w:rsidRPr="00ED5869">
        <w:rPr>
          <w:rFonts w:cstheme="minorHAnsi"/>
        </w:rPr>
        <w:t>necessary.</w:t>
      </w:r>
    </w:p>
    <w:p w14:paraId="7FA41CFF" w14:textId="77777777" w:rsidR="001803A2" w:rsidRPr="00ED5869" w:rsidRDefault="001803A2" w:rsidP="001803A2">
      <w:pPr>
        <w:spacing w:after="0"/>
        <w:ind w:right="80"/>
        <w:rPr>
          <w:rFonts w:cstheme="minorHAnsi"/>
          <w:u w:val="single" w:color="000000"/>
        </w:rPr>
      </w:pPr>
    </w:p>
    <w:p w14:paraId="46043544" w14:textId="57D1AB1F" w:rsidR="001803A2" w:rsidRPr="00E920EF" w:rsidRDefault="001803A2" w:rsidP="001803A2">
      <w:pPr>
        <w:spacing w:after="0"/>
        <w:ind w:right="86"/>
        <w:rPr>
          <w:rFonts w:cstheme="minorHAnsi"/>
          <w:i/>
          <w:iCs/>
        </w:rPr>
      </w:pPr>
      <w:r w:rsidRPr="00E920EF">
        <w:rPr>
          <w:rFonts w:cstheme="minorHAnsi"/>
          <w:i/>
          <w:iCs/>
        </w:rPr>
        <w:t xml:space="preserve">Changes in the Betas will affect the </w:t>
      </w:r>
      <w:r w:rsidRPr="00E920EF">
        <w:rPr>
          <w:rFonts w:cstheme="minorHAnsi"/>
          <w:b/>
          <w:bCs/>
          <w:i/>
          <w:iCs/>
        </w:rPr>
        <w:t xml:space="preserve">Decay </w:t>
      </w:r>
      <w:r w:rsidR="00E920EF" w:rsidRPr="00E920EF">
        <w:rPr>
          <w:rFonts w:cstheme="minorHAnsi"/>
          <w:b/>
          <w:bCs/>
          <w:i/>
          <w:iCs/>
        </w:rPr>
        <w:t>R</w:t>
      </w:r>
      <w:r w:rsidRPr="00E920EF">
        <w:rPr>
          <w:rFonts w:cstheme="minorHAnsi"/>
          <w:b/>
          <w:bCs/>
          <w:i/>
          <w:iCs/>
        </w:rPr>
        <w:t>ates</w:t>
      </w:r>
      <w:r w:rsidRPr="00E920EF">
        <w:rPr>
          <w:rFonts w:cstheme="minorHAnsi"/>
          <w:i/>
          <w:iCs/>
        </w:rPr>
        <w:t xml:space="preserve"> in the section below the Betas. Therefore, if you make changes to </w:t>
      </w:r>
      <w:r w:rsidR="00E920EF" w:rsidRPr="00E920EF">
        <w:rPr>
          <w:rFonts w:cstheme="minorHAnsi"/>
          <w:i/>
          <w:iCs/>
        </w:rPr>
        <w:t>Betas</w:t>
      </w:r>
      <w:r w:rsidRPr="00E920EF">
        <w:rPr>
          <w:rFonts w:cstheme="minorHAnsi"/>
          <w:i/>
          <w:iCs/>
        </w:rPr>
        <w:t>, select ‘OK’ then return to the Deposit Assumptions page to review the revised decay information.</w:t>
      </w:r>
    </w:p>
    <w:p w14:paraId="466AF9B3" w14:textId="77777777" w:rsidR="00B978B6" w:rsidRDefault="00B978B6" w:rsidP="001803A2">
      <w:pPr>
        <w:spacing w:after="0"/>
        <w:ind w:right="86"/>
        <w:rPr>
          <w:rFonts w:cstheme="minorHAnsi"/>
        </w:rPr>
      </w:pPr>
    </w:p>
    <w:p w14:paraId="0C64DCBF" w14:textId="0315DE27" w:rsidR="001803A2" w:rsidRPr="00ED5869" w:rsidRDefault="001803A2" w:rsidP="001803A2">
      <w:pPr>
        <w:spacing w:after="0"/>
        <w:ind w:right="86"/>
        <w:rPr>
          <w:rFonts w:cstheme="minorHAnsi"/>
        </w:rPr>
      </w:pPr>
      <w:r w:rsidRPr="00E920EF">
        <w:rPr>
          <w:rFonts w:cstheme="minorHAnsi"/>
          <w:b/>
          <w:bCs/>
        </w:rPr>
        <w:t>Decay Term</w:t>
      </w:r>
      <w:r w:rsidRPr="00ED5869">
        <w:rPr>
          <w:rFonts w:cstheme="minorHAnsi"/>
        </w:rPr>
        <w:t xml:space="preserve"> information affects the market value associated with non-maturing deposits reported on the </w:t>
      </w:r>
      <w:r w:rsidRPr="00E920EF">
        <w:rPr>
          <w:rFonts w:cstheme="minorHAnsi"/>
          <w:u w:val="single"/>
        </w:rPr>
        <w:t>Rate Shocked Economic Value of Equity</w:t>
      </w:r>
      <w:r w:rsidRPr="00ED5869">
        <w:rPr>
          <w:rFonts w:cstheme="minorHAnsi"/>
        </w:rPr>
        <w:t>. Typically, the more rate sensitive the deposit, the shorter the decay. However, if the customer base has a history of long-term retention, then the decay value can be changed, and, in most cases, extended. In such a case, the longer the decay of the deposit the greater the market value will fluctuate.</w:t>
      </w:r>
      <w:r w:rsidR="00E920EF">
        <w:rPr>
          <w:rFonts w:cstheme="minorHAnsi"/>
        </w:rPr>
        <w:t xml:space="preserve"> </w:t>
      </w:r>
      <w:r w:rsidRPr="00ED5869">
        <w:rPr>
          <w:rFonts w:cstheme="minorHAnsi"/>
        </w:rPr>
        <w:t>Although the model will suggest appropriate decay terms based upon the current betas for non-maturing balance repricing, the user is asked to examine each decay term and determine if they are accurate.</w:t>
      </w:r>
    </w:p>
    <w:p w14:paraId="14754E60" w14:textId="77777777" w:rsidR="001803A2" w:rsidRPr="00ED5869" w:rsidRDefault="001803A2" w:rsidP="001803A2">
      <w:pPr>
        <w:spacing w:after="0"/>
        <w:ind w:right="80"/>
        <w:rPr>
          <w:rFonts w:cstheme="minorHAnsi"/>
        </w:rPr>
      </w:pPr>
    </w:p>
    <w:p w14:paraId="734C7B2F" w14:textId="6FA91CF8" w:rsidR="001803A2" w:rsidRPr="00ED5869" w:rsidRDefault="001803A2" w:rsidP="001803A2">
      <w:pPr>
        <w:spacing w:after="0"/>
        <w:ind w:right="80"/>
        <w:rPr>
          <w:rFonts w:cstheme="minorHAnsi"/>
        </w:rPr>
      </w:pPr>
      <w:r w:rsidRPr="00ED5869">
        <w:rPr>
          <w:rFonts w:cstheme="minorHAnsi"/>
        </w:rPr>
        <w:t xml:space="preserve">For example: Money Market Accounts typically have short decay terms in fluctuating rate environments as the customer moves their balances more frequently to get the best rate of return. In stagnate or falling rate conditions, your MMDA customer is more likely to stay put, i.e., have a longer decay. There may be conditions that contradict these situations. You </w:t>
      </w:r>
      <w:r w:rsidR="00E920EF" w:rsidRPr="00ED5869">
        <w:rPr>
          <w:rFonts w:cstheme="minorHAnsi"/>
        </w:rPr>
        <w:t>can</w:t>
      </w:r>
      <w:r w:rsidRPr="00ED5869">
        <w:rPr>
          <w:rFonts w:cstheme="minorHAnsi"/>
        </w:rPr>
        <w:t xml:space="preserve"> customize the decay term to describe current customer behavior.</w:t>
      </w:r>
    </w:p>
    <w:p w14:paraId="02A6B890" w14:textId="77777777" w:rsidR="001803A2" w:rsidRPr="00ED5869" w:rsidRDefault="001803A2" w:rsidP="001803A2">
      <w:pPr>
        <w:spacing w:after="0"/>
        <w:ind w:right="80"/>
        <w:rPr>
          <w:rFonts w:cstheme="minorHAnsi"/>
        </w:rPr>
      </w:pPr>
    </w:p>
    <w:p w14:paraId="5103293A" w14:textId="6D4583E5" w:rsidR="001803A2" w:rsidRPr="00E920EF" w:rsidRDefault="001803A2" w:rsidP="001803A2">
      <w:pPr>
        <w:spacing w:after="0"/>
        <w:ind w:right="80"/>
        <w:rPr>
          <w:rFonts w:cstheme="minorHAnsi"/>
          <w:i/>
          <w:iCs/>
        </w:rPr>
      </w:pPr>
      <w:r w:rsidRPr="00E920EF">
        <w:rPr>
          <w:rFonts w:cstheme="minorHAnsi"/>
          <w:b/>
          <w:bCs/>
          <w:i/>
          <w:iCs/>
        </w:rPr>
        <w:t>Discount Rates</w:t>
      </w:r>
      <w:r w:rsidRPr="00E920EF">
        <w:rPr>
          <w:rFonts w:cstheme="minorHAnsi"/>
          <w:i/>
          <w:iCs/>
        </w:rPr>
        <w:t xml:space="preserve"> are used to determine the current and shocked market value of deposit balances. As each deposit has a decay term or actual maturity, it has a duration. The account’s duration is matched up with its counterpart on the yield curve for assigning the discount rate. If a balance category has $0 balances, the Fed Funds rate is displayed as a system default for the Discount Rate.</w:t>
      </w:r>
    </w:p>
    <w:p w14:paraId="6B928957" w14:textId="77777777" w:rsidR="001803A2" w:rsidRDefault="001803A2" w:rsidP="001803A2">
      <w:pPr>
        <w:spacing w:after="0"/>
        <w:ind w:right="80"/>
        <w:rPr>
          <w:rFonts w:cstheme="minorHAnsi"/>
        </w:rPr>
      </w:pPr>
    </w:p>
    <w:p w14:paraId="7945BAA2" w14:textId="77777777" w:rsidR="00E920EF" w:rsidRDefault="00E920EF" w:rsidP="001803A2">
      <w:pPr>
        <w:spacing w:after="0"/>
        <w:ind w:right="80"/>
        <w:rPr>
          <w:rFonts w:cstheme="minorHAnsi"/>
        </w:rPr>
      </w:pPr>
    </w:p>
    <w:p w14:paraId="41389AF8" w14:textId="4DCAD477" w:rsidR="001803A2" w:rsidRPr="00E920EF" w:rsidRDefault="00E920EF" w:rsidP="001803A2">
      <w:pPr>
        <w:spacing w:after="0"/>
        <w:ind w:right="80"/>
        <w:rPr>
          <w:rFonts w:cstheme="minorHAnsi"/>
          <w:b/>
          <w:bCs/>
        </w:rPr>
      </w:pPr>
      <w:r w:rsidRPr="00E920EF">
        <w:rPr>
          <w:rFonts w:cstheme="minorHAnsi"/>
          <w:b/>
          <w:bCs/>
        </w:rPr>
        <w:t>RECLASSIFICATION ASSUMPTIONS</w:t>
      </w:r>
    </w:p>
    <w:p w14:paraId="1B5005C5" w14:textId="7E570576" w:rsidR="00A13AB6" w:rsidRDefault="001803A2" w:rsidP="00E920EF">
      <w:pPr>
        <w:spacing w:after="0"/>
        <w:ind w:right="80"/>
        <w:rPr>
          <w:rFonts w:cstheme="minorHAnsi"/>
        </w:rPr>
        <w:sectPr w:rsidR="00A13AB6" w:rsidSect="001803A2">
          <w:footerReference w:type="default" r:id="rId7"/>
          <w:pgSz w:w="12240" w:h="15840"/>
          <w:pgMar w:top="1440" w:right="1440" w:bottom="1440" w:left="1440" w:header="720" w:footer="720" w:gutter="0"/>
          <w:pgNumType w:start="27"/>
          <w:cols w:space="720"/>
          <w:docGrid w:linePitch="272"/>
        </w:sectPr>
      </w:pPr>
      <w:r w:rsidRPr="00ED5869">
        <w:rPr>
          <w:rFonts w:cstheme="minorHAnsi"/>
        </w:rPr>
        <w:t>Some banks reclassify non-maturing deposit balances to recognize sweep accounts and to reduce assessment fees. This can distort the calculation of interest expense and cost rate. If your bank has engaged in this activity, it is necessary to re-state these reclassifications to obtain a better estimate of cost rate for rate shock purposes.</w:t>
      </w:r>
      <w:r w:rsidR="00E920EF">
        <w:rPr>
          <w:rFonts w:cstheme="minorHAnsi"/>
        </w:rPr>
        <w:t xml:space="preserve"> </w:t>
      </w:r>
      <w:r w:rsidRPr="00ED5869">
        <w:rPr>
          <w:rFonts w:cstheme="minorHAnsi"/>
        </w:rPr>
        <w:t>The program allows the user to load a restatement of MMDA and Savings balances for the past five quarters and save them.</w:t>
      </w:r>
      <w:r w:rsidR="00E920EF">
        <w:rPr>
          <w:rFonts w:cstheme="minorHAnsi"/>
        </w:rPr>
        <w:t xml:space="preserve"> </w:t>
      </w:r>
      <w:r w:rsidR="00E920EF" w:rsidRPr="00E920EF">
        <w:rPr>
          <w:rFonts w:cstheme="minorHAnsi"/>
        </w:rPr>
        <w:t>If</w:t>
      </w:r>
      <w:r w:rsidRPr="00E920EF">
        <w:rPr>
          <w:rFonts w:cstheme="minorHAnsi"/>
          <w:u w:color="000000"/>
        </w:rPr>
        <w:t xml:space="preserve"> this does not apply to your institution, no action is required</w:t>
      </w:r>
      <w:r w:rsidR="00E920EF">
        <w:rPr>
          <w:rFonts w:cstheme="minorHAnsi"/>
          <w:u w:color="000000"/>
        </w:rPr>
        <w:t>.</w:t>
      </w:r>
      <w:bookmarkEnd w:id="0"/>
    </w:p>
    <w:p w14:paraId="50803AC9" w14:textId="2FFFD6DD" w:rsidR="00A13AB6" w:rsidRPr="00A13AB6" w:rsidRDefault="00A13AB6" w:rsidP="00A13AB6">
      <w:pPr>
        <w:pStyle w:val="NormalWeb"/>
        <w:rPr>
          <w:rFonts w:asciiTheme="minorHAnsi" w:eastAsia="Times New Roman" w:hAnsiTheme="minorHAnsi" w:cstheme="minorHAnsi"/>
          <w:kern w:val="0"/>
          <w:sz w:val="22"/>
          <w:szCs w:val="22"/>
          <w14:ligatures w14:val="none"/>
        </w:rPr>
      </w:pPr>
      <w:r w:rsidRPr="00A13AB6">
        <w:rPr>
          <w:rFonts w:asciiTheme="minorHAnsi" w:eastAsia="Times New Roman" w:hAnsiTheme="minorHAnsi" w:cstheme="minorHAnsi"/>
          <w:b/>
          <w:bCs/>
          <w:kern w:val="0"/>
          <w:sz w:val="22"/>
          <w:szCs w:val="22"/>
          <w14:ligatures w14:val="none"/>
        </w:rPr>
        <w:lastRenderedPageBreak/>
        <w:t>Back-Testing in RiskGPS:</w:t>
      </w:r>
    </w:p>
    <w:p w14:paraId="625C01B7" w14:textId="77777777" w:rsidR="00A13AB6" w:rsidRPr="00A13AB6" w:rsidRDefault="00A13AB6" w:rsidP="00A13AB6">
      <w:pPr>
        <w:spacing w:before="100" w:beforeAutospacing="1" w:after="100" w:afterAutospacing="1" w:line="240" w:lineRule="auto"/>
        <w:rPr>
          <w:rFonts w:eastAsia="Times New Roman" w:cstheme="minorHAnsi"/>
        </w:rPr>
      </w:pPr>
      <w:r w:rsidRPr="00A13AB6">
        <w:rPr>
          <w:rFonts w:eastAsia="Times New Roman" w:cstheme="minorHAnsi"/>
        </w:rPr>
        <w:t>In RiskGPS, back-testing compares the actual changes in Net Interest Margin (NIM) and Interest Rates over the past year with the predicted results from last year's Rate Shock Analysis.</w:t>
      </w:r>
    </w:p>
    <w:p w14:paraId="7EBABB5E" w14:textId="77777777" w:rsidR="00A13AB6" w:rsidRPr="00A13AB6" w:rsidRDefault="00A13AB6" w:rsidP="00A13AB6">
      <w:pPr>
        <w:spacing w:before="100" w:beforeAutospacing="1" w:after="100" w:afterAutospacing="1" w:line="240" w:lineRule="auto"/>
        <w:rPr>
          <w:rFonts w:eastAsia="Times New Roman" w:cstheme="minorHAnsi"/>
        </w:rPr>
      </w:pPr>
      <w:r w:rsidRPr="00A13AB6">
        <w:rPr>
          <w:rFonts w:eastAsia="Times New Roman" w:cstheme="minorHAnsi"/>
          <w:b/>
          <w:bCs/>
        </w:rPr>
        <w:t>Rate Forecast Comparison:</w:t>
      </w:r>
    </w:p>
    <w:p w14:paraId="5CB308F2" w14:textId="77777777" w:rsidR="00A13AB6" w:rsidRPr="00A13AB6" w:rsidRDefault="00A13AB6" w:rsidP="00A13AB6">
      <w:pPr>
        <w:numPr>
          <w:ilvl w:val="0"/>
          <w:numId w:val="32"/>
        </w:numPr>
        <w:spacing w:before="100" w:beforeAutospacing="1" w:after="100" w:afterAutospacing="1" w:line="240" w:lineRule="auto"/>
        <w:rPr>
          <w:rFonts w:eastAsia="Times New Roman" w:cstheme="minorHAnsi"/>
        </w:rPr>
      </w:pPr>
      <w:r w:rsidRPr="00A13AB6">
        <w:rPr>
          <w:rFonts w:eastAsia="Times New Roman" w:cstheme="minorHAnsi"/>
        </w:rPr>
        <w:t>The model uses the Blue-Chip Financial Forecast to compare actual and projected average rates for the current year.</w:t>
      </w:r>
    </w:p>
    <w:p w14:paraId="5B6B193C" w14:textId="77777777" w:rsidR="00A13AB6" w:rsidRPr="00A13AB6" w:rsidRDefault="00A13AB6" w:rsidP="00A13AB6">
      <w:pPr>
        <w:numPr>
          <w:ilvl w:val="0"/>
          <w:numId w:val="32"/>
        </w:numPr>
        <w:spacing w:before="100" w:beforeAutospacing="1" w:after="100" w:afterAutospacing="1" w:line="240" w:lineRule="auto"/>
        <w:rPr>
          <w:rFonts w:eastAsia="Times New Roman" w:cstheme="minorHAnsi"/>
        </w:rPr>
      </w:pPr>
      <w:r w:rsidRPr="00A13AB6">
        <w:rPr>
          <w:rFonts w:eastAsia="Times New Roman" w:cstheme="minorHAnsi"/>
        </w:rPr>
        <w:t>The difference between the current year's average rates and the previous year's fourth-quarter rates is calculated.</w:t>
      </w:r>
    </w:p>
    <w:p w14:paraId="36B3ED29" w14:textId="77777777" w:rsidR="00A13AB6" w:rsidRPr="00A13AB6" w:rsidRDefault="00A13AB6" w:rsidP="00A13AB6">
      <w:pPr>
        <w:numPr>
          <w:ilvl w:val="0"/>
          <w:numId w:val="32"/>
        </w:numPr>
        <w:spacing w:before="100" w:beforeAutospacing="1" w:after="100" w:afterAutospacing="1" w:line="240" w:lineRule="auto"/>
        <w:rPr>
          <w:rFonts w:eastAsia="Times New Roman" w:cstheme="minorHAnsi"/>
        </w:rPr>
      </w:pPr>
      <w:r w:rsidRPr="00A13AB6">
        <w:rPr>
          <w:rFonts w:eastAsia="Times New Roman" w:cstheme="minorHAnsi"/>
        </w:rPr>
        <w:t>Rate changes are then weighted based on the bank’s balance sheet volumes for each category, and an overall weighted average rate change is determined.</w:t>
      </w:r>
    </w:p>
    <w:p w14:paraId="2F9E19FC" w14:textId="77777777" w:rsidR="00A13AB6" w:rsidRPr="00A13AB6" w:rsidRDefault="00A13AB6" w:rsidP="00A13AB6">
      <w:pPr>
        <w:spacing w:before="100" w:beforeAutospacing="1" w:after="100" w:afterAutospacing="1" w:line="240" w:lineRule="auto"/>
        <w:rPr>
          <w:rFonts w:eastAsia="Times New Roman" w:cstheme="minorHAnsi"/>
        </w:rPr>
      </w:pPr>
      <w:r w:rsidRPr="00A13AB6">
        <w:rPr>
          <w:rFonts w:eastAsia="Times New Roman" w:cstheme="minorHAnsi"/>
          <w:b/>
          <w:bCs/>
        </w:rPr>
        <w:t>Net Interest Margin (NIM) Comparison:</w:t>
      </w:r>
    </w:p>
    <w:p w14:paraId="5F579516" w14:textId="77777777" w:rsidR="00A13AB6" w:rsidRPr="00A13AB6" w:rsidRDefault="00A13AB6" w:rsidP="00A13AB6">
      <w:pPr>
        <w:numPr>
          <w:ilvl w:val="0"/>
          <w:numId w:val="33"/>
        </w:numPr>
        <w:spacing w:before="100" w:beforeAutospacing="1" w:after="100" w:afterAutospacing="1" w:line="240" w:lineRule="auto"/>
        <w:rPr>
          <w:rFonts w:eastAsia="Times New Roman" w:cstheme="minorHAnsi"/>
        </w:rPr>
      </w:pPr>
      <w:r w:rsidRPr="00A13AB6">
        <w:rPr>
          <w:rFonts w:eastAsia="Times New Roman" w:cstheme="minorHAnsi"/>
        </w:rPr>
        <w:t>The system calculates the current year's average NIM and compares it to the fourth-quarter NIM from the previous year to determine the actual change.</w:t>
      </w:r>
    </w:p>
    <w:p w14:paraId="3DFF6434" w14:textId="77777777" w:rsidR="00A13AB6" w:rsidRPr="00A13AB6" w:rsidRDefault="00A13AB6" w:rsidP="00A13AB6">
      <w:pPr>
        <w:numPr>
          <w:ilvl w:val="0"/>
          <w:numId w:val="33"/>
        </w:numPr>
        <w:spacing w:before="100" w:beforeAutospacing="1" w:after="100" w:afterAutospacing="1" w:line="240" w:lineRule="auto"/>
        <w:rPr>
          <w:rFonts w:eastAsia="Times New Roman" w:cstheme="minorHAnsi"/>
        </w:rPr>
      </w:pPr>
      <w:r w:rsidRPr="00A13AB6">
        <w:rPr>
          <w:rFonts w:eastAsia="Times New Roman" w:cstheme="minorHAnsi"/>
        </w:rPr>
        <w:t>The projected NIM change is derived from the rate-shock data using the weighted average rate change, with interpolation between rate shock increments.</w:t>
      </w:r>
    </w:p>
    <w:p w14:paraId="09B3F85C" w14:textId="77777777" w:rsidR="00A13AB6" w:rsidRPr="00A13AB6" w:rsidRDefault="00A13AB6" w:rsidP="00A13AB6">
      <w:pPr>
        <w:numPr>
          <w:ilvl w:val="0"/>
          <w:numId w:val="33"/>
        </w:numPr>
        <w:spacing w:before="100" w:beforeAutospacing="1" w:after="100" w:afterAutospacing="1" w:line="240" w:lineRule="auto"/>
        <w:rPr>
          <w:rFonts w:eastAsia="Times New Roman" w:cstheme="minorHAnsi"/>
        </w:rPr>
      </w:pPr>
      <w:r w:rsidRPr="00A13AB6">
        <w:rPr>
          <w:rFonts w:eastAsia="Times New Roman" w:cstheme="minorHAnsi"/>
        </w:rPr>
        <w:t>NIM shock analytics from last year’s simulations are used to calculate the projected NIM based on historical data and system defaults.</w:t>
      </w:r>
    </w:p>
    <w:p w14:paraId="584B9040" w14:textId="77777777" w:rsidR="00A13AB6" w:rsidRPr="00A13AB6" w:rsidRDefault="00A13AB6" w:rsidP="00A13AB6">
      <w:pPr>
        <w:spacing w:before="100" w:beforeAutospacing="1" w:after="100" w:afterAutospacing="1" w:line="240" w:lineRule="auto"/>
        <w:rPr>
          <w:rFonts w:eastAsia="Times New Roman" w:cstheme="minorHAnsi"/>
        </w:rPr>
      </w:pPr>
      <w:r w:rsidRPr="00A13AB6">
        <w:rPr>
          <w:rFonts w:eastAsia="Times New Roman" w:cstheme="minorHAnsi"/>
        </w:rPr>
        <w:t xml:space="preserve">The </w:t>
      </w:r>
      <w:r w:rsidRPr="00A13AB6">
        <w:rPr>
          <w:rFonts w:eastAsia="Times New Roman" w:cstheme="minorHAnsi"/>
          <w:b/>
          <w:bCs/>
        </w:rPr>
        <w:t>Back-testing report</w:t>
      </w:r>
      <w:r w:rsidRPr="00A13AB6">
        <w:rPr>
          <w:rFonts w:eastAsia="Times New Roman" w:cstheme="minorHAnsi"/>
        </w:rPr>
        <w:t xml:space="preserve"> displays results for the past four years, including the average error for each year, helping to assess the accuracy of previous rate shock projections.</w:t>
      </w:r>
    </w:p>
    <w:p w14:paraId="6E5F42C2" w14:textId="77777777" w:rsidR="00A13AB6" w:rsidRDefault="00A13AB6" w:rsidP="00657831">
      <w:pPr>
        <w:spacing w:after="0" w:line="259" w:lineRule="auto"/>
        <w:rPr>
          <w:rFonts w:cstheme="minorHAnsi"/>
        </w:rPr>
        <w:sectPr w:rsidR="00A13AB6" w:rsidSect="001803A2">
          <w:footerReference w:type="default" r:id="rId8"/>
          <w:pgSz w:w="12240" w:h="15840"/>
          <w:pgMar w:top="1440" w:right="1440" w:bottom="1440" w:left="1440" w:header="720" w:footer="720" w:gutter="0"/>
          <w:pgNumType w:start="27"/>
          <w:cols w:space="720"/>
          <w:docGrid w:linePitch="272"/>
        </w:sectPr>
      </w:pPr>
    </w:p>
    <w:p w14:paraId="3B14B8F9" w14:textId="1E32BAA5" w:rsidR="00A13AB6" w:rsidRDefault="00A13AB6" w:rsidP="00A13AB6">
      <w:pPr>
        <w:spacing w:after="0"/>
        <w:rPr>
          <w:rFonts w:eastAsia="Arial" w:cstheme="minorHAnsi"/>
          <w:b/>
          <w:color w:val="000000" w:themeColor="text1"/>
          <w:w w:val="102"/>
        </w:rPr>
      </w:pPr>
      <w:bookmarkStart w:id="1" w:name="_Hlk194999956"/>
      <w:r w:rsidRPr="00A13AB6">
        <w:rPr>
          <w:rFonts w:eastAsia="Arial" w:cstheme="minorHAnsi"/>
          <w:b/>
          <w:color w:val="000000" w:themeColor="text1"/>
          <w:w w:val="102"/>
        </w:rPr>
        <w:lastRenderedPageBreak/>
        <w:t>RiskGPS: Strategy Bank Sample Report</w:t>
      </w:r>
    </w:p>
    <w:p w14:paraId="59305EBA" w14:textId="77777777" w:rsidR="00A13AB6" w:rsidRPr="00A13AB6" w:rsidRDefault="00A13AB6" w:rsidP="00A13AB6">
      <w:pPr>
        <w:spacing w:after="0"/>
        <w:ind w:left="720"/>
        <w:rPr>
          <w:rFonts w:eastAsia="Arial" w:cstheme="minorHAnsi"/>
          <w:b/>
          <w:color w:val="000000" w:themeColor="text1"/>
          <w:w w:val="102"/>
        </w:rPr>
      </w:pPr>
    </w:p>
    <w:p w14:paraId="3E291F8C" w14:textId="2CBBC8D7" w:rsidR="00A13AB6" w:rsidRPr="00A13AB6" w:rsidRDefault="00A13AB6" w:rsidP="00A13AB6">
      <w:pPr>
        <w:spacing w:after="0"/>
        <w:ind w:right="810"/>
        <w:rPr>
          <w:rFonts w:eastAsia="Arial" w:cstheme="minorHAnsi"/>
          <w:color w:val="000000" w:themeColor="text1"/>
        </w:rPr>
      </w:pPr>
      <w:r w:rsidRPr="00A13AB6">
        <w:rPr>
          <w:rFonts w:eastAsia="Arial" w:cstheme="minorHAnsi"/>
          <w:b/>
          <w:color w:val="000000" w:themeColor="text1"/>
          <w:w w:val="102"/>
        </w:rPr>
        <w:t>Introduction</w:t>
      </w:r>
    </w:p>
    <w:p w14:paraId="4AAC0CFC" w14:textId="1512BB71" w:rsidR="00A13AB6" w:rsidRPr="00A13AB6" w:rsidRDefault="00A13AB6" w:rsidP="00A13AB6">
      <w:pPr>
        <w:spacing w:after="0"/>
        <w:ind w:right="810"/>
        <w:rPr>
          <w:rFonts w:eastAsia="Arial" w:cstheme="minorHAnsi"/>
        </w:rPr>
      </w:pPr>
      <w:r w:rsidRPr="00A13AB6">
        <w:rPr>
          <w:rFonts w:eastAsia="Arial" w:cstheme="minorHAnsi"/>
        </w:rPr>
        <w:t>The purpose of th</w:t>
      </w:r>
      <w:r w:rsidR="00044E65">
        <w:rPr>
          <w:rFonts w:eastAsia="Arial" w:cstheme="minorHAnsi"/>
        </w:rPr>
        <w:t>e RiskGPS</w:t>
      </w:r>
      <w:r w:rsidRPr="00A13AB6">
        <w:rPr>
          <w:rFonts w:eastAsia="Arial" w:cstheme="minorHAnsi"/>
        </w:rPr>
        <w:t xml:space="preserve"> analysis is to provide community bankers with an economical tool with which to determine rate risk and prepare for IRR examinations. It combines up to 20 quarters of the bank's financial history from call reports with required rate risk measurement techniques to produce an estimate of both interest margin and equity risks. With these reports, the user can easily understand, communicate and prepare for the impact of rate changes with minimal costs, staff and time.</w:t>
      </w:r>
    </w:p>
    <w:p w14:paraId="457AF231" w14:textId="77777777" w:rsidR="00A13AB6" w:rsidRPr="00A13AB6" w:rsidRDefault="00A13AB6" w:rsidP="00A13AB6">
      <w:pPr>
        <w:spacing w:after="0"/>
        <w:ind w:right="810"/>
        <w:rPr>
          <w:rFonts w:eastAsia="Arial" w:cstheme="minorHAnsi"/>
        </w:rPr>
      </w:pPr>
    </w:p>
    <w:p w14:paraId="18AA290E" w14:textId="77777777" w:rsidR="00A13AB6" w:rsidRPr="00A13AB6" w:rsidRDefault="00A13AB6" w:rsidP="00A13AB6">
      <w:pPr>
        <w:spacing w:after="0"/>
        <w:ind w:right="810"/>
        <w:rPr>
          <w:rFonts w:eastAsia="Arial" w:cstheme="minorHAnsi"/>
          <w:b/>
          <w:bCs/>
        </w:rPr>
      </w:pPr>
      <w:r w:rsidRPr="00A13AB6">
        <w:rPr>
          <w:rFonts w:eastAsia="Arial" w:cstheme="minorHAnsi"/>
          <w:b/>
          <w:bCs/>
        </w:rPr>
        <w:t>Risk Analysis Methods</w:t>
      </w:r>
    </w:p>
    <w:p w14:paraId="52F5BD1A" w14:textId="414A077B" w:rsidR="00A13AB6" w:rsidRPr="00044E65" w:rsidRDefault="00A13AB6" w:rsidP="00A13AB6">
      <w:pPr>
        <w:spacing w:after="0"/>
        <w:ind w:right="810"/>
        <w:rPr>
          <w:rFonts w:eastAsia="Arial" w:cstheme="minorHAnsi"/>
          <w:i/>
          <w:iCs/>
        </w:rPr>
      </w:pPr>
      <w:r w:rsidRPr="00A13AB6">
        <w:rPr>
          <w:rFonts w:eastAsia="Arial" w:cstheme="minorHAnsi"/>
        </w:rPr>
        <w:t xml:space="preserve">The system provides several methods for measuring interest rate risk. </w:t>
      </w:r>
      <w:r w:rsidRPr="00044E65">
        <w:rPr>
          <w:rFonts w:eastAsia="Arial" w:cstheme="minorHAnsi"/>
          <w:i/>
          <w:iCs/>
        </w:rPr>
        <w:t xml:space="preserve">Risk to the net interest margin is measured using the Rate Sensitivity Gap Analysis to show cash flow and repricing </w:t>
      </w:r>
      <w:r w:rsidR="00044E65" w:rsidRPr="00044E65">
        <w:rPr>
          <w:rFonts w:eastAsia="Arial" w:cstheme="minorHAnsi"/>
          <w:i/>
          <w:iCs/>
        </w:rPr>
        <w:t>information and</w:t>
      </w:r>
      <w:r w:rsidRPr="00044E65">
        <w:rPr>
          <w:rFonts w:eastAsia="Arial" w:cstheme="minorHAnsi"/>
          <w:i/>
          <w:iCs/>
        </w:rPr>
        <w:t xml:space="preserve"> then margin simulation to quantify the actual income risk.</w:t>
      </w:r>
      <w:r w:rsidRPr="00A13AB6">
        <w:rPr>
          <w:rFonts w:eastAsia="Arial" w:cstheme="minorHAnsi"/>
        </w:rPr>
        <w:t xml:space="preserve"> While net interest margin risk is a short-term (12-month) measure, longer term risks to the bank’s performance can be seen by computing Economic Value of the bank’s Equity (EVE). </w:t>
      </w:r>
      <w:r w:rsidRPr="00044E65">
        <w:rPr>
          <w:rFonts w:eastAsia="Arial" w:cstheme="minorHAnsi"/>
          <w:i/>
          <w:iCs/>
        </w:rPr>
        <w:t xml:space="preserve">The EVE is the present value at various interest levels. </w:t>
      </w:r>
    </w:p>
    <w:p w14:paraId="38645F12" w14:textId="77777777" w:rsidR="00A13AB6" w:rsidRPr="00A13AB6" w:rsidRDefault="00A13AB6" w:rsidP="00A13AB6">
      <w:pPr>
        <w:spacing w:after="0"/>
        <w:ind w:right="810"/>
        <w:rPr>
          <w:rFonts w:eastAsia="Arial" w:cstheme="minorHAnsi"/>
        </w:rPr>
      </w:pPr>
    </w:p>
    <w:p w14:paraId="7D9FFA18" w14:textId="54BDE4FB" w:rsidR="00A13AB6" w:rsidRPr="00A13AB6" w:rsidRDefault="00A13AB6" w:rsidP="00A13AB6">
      <w:pPr>
        <w:spacing w:after="0"/>
        <w:ind w:right="810"/>
        <w:rPr>
          <w:rFonts w:eastAsia="Arial" w:cstheme="minorHAnsi"/>
          <w:b/>
          <w:bCs/>
        </w:rPr>
      </w:pPr>
      <w:r w:rsidRPr="00A13AB6">
        <w:rPr>
          <w:rFonts w:eastAsia="Arial" w:cstheme="minorHAnsi"/>
          <w:b/>
          <w:bCs/>
        </w:rPr>
        <w:t>Plansmith’s Risk Tolerance</w:t>
      </w:r>
      <w:r w:rsidR="00044E65">
        <w:rPr>
          <w:rFonts w:eastAsia="Arial" w:cstheme="minorHAnsi"/>
          <w:b/>
          <w:bCs/>
        </w:rPr>
        <w:t xml:space="preserve"> Analysis</w:t>
      </w:r>
    </w:p>
    <w:p w14:paraId="7D4A72A3" w14:textId="77777777" w:rsidR="00A13AB6" w:rsidRPr="00A13AB6" w:rsidRDefault="00A13AB6" w:rsidP="00A13AB6">
      <w:pPr>
        <w:spacing w:after="0"/>
        <w:ind w:right="810"/>
        <w:rPr>
          <w:rFonts w:eastAsia="Arial" w:cstheme="minorHAnsi"/>
        </w:rPr>
      </w:pPr>
      <w:r w:rsidRPr="00A13AB6">
        <w:rPr>
          <w:rFonts w:eastAsia="Arial" w:cstheme="minorHAnsi"/>
        </w:rPr>
        <w:t xml:space="preserve">Risk is always present in the balance sheet; however, the severity of risk has meaning only when placed in context. To understand the severity of the present, we must understand the bank’s ability to absorb losses, its Rate Risk Tolerance. Plansmith’s Risk Tolerance Analysis is the benchmark against which risk can be determined to be acceptable or excessive. Risk Tolerance also provides insights into the components of performance that can reduce pressure on the net interest margin when few alternatives exist. This unique analysis aids understanding by bringing a new dimension to the interest rate risk equation. </w:t>
      </w:r>
    </w:p>
    <w:p w14:paraId="2C1CC43D" w14:textId="77777777" w:rsidR="00A13AB6" w:rsidRPr="00A13AB6" w:rsidRDefault="00A13AB6" w:rsidP="00A13AB6">
      <w:pPr>
        <w:spacing w:after="0"/>
        <w:ind w:right="810"/>
        <w:rPr>
          <w:rFonts w:eastAsia="Arial" w:cstheme="minorHAnsi"/>
        </w:rPr>
      </w:pPr>
    </w:p>
    <w:p w14:paraId="66A116B9" w14:textId="77777777" w:rsidR="00A13AB6" w:rsidRPr="00A13AB6" w:rsidRDefault="00A13AB6" w:rsidP="00A13AB6">
      <w:pPr>
        <w:spacing w:after="0"/>
        <w:ind w:right="810"/>
        <w:rPr>
          <w:rFonts w:eastAsia="Arial" w:cstheme="minorHAnsi"/>
          <w:b/>
          <w:bCs/>
        </w:rPr>
      </w:pPr>
      <w:r w:rsidRPr="00A13AB6">
        <w:rPr>
          <w:rFonts w:eastAsia="Arial" w:cstheme="minorHAnsi"/>
          <w:b/>
          <w:bCs/>
        </w:rPr>
        <w:t>Rate Risk Strategy Development</w:t>
      </w:r>
    </w:p>
    <w:p w14:paraId="4CF1AABF" w14:textId="1E1B8630" w:rsidR="00A13AB6" w:rsidRPr="00A13AB6" w:rsidRDefault="00A13AB6" w:rsidP="00A13AB6">
      <w:pPr>
        <w:spacing w:after="0"/>
        <w:ind w:right="810"/>
        <w:rPr>
          <w:rFonts w:eastAsia="Arial" w:cstheme="minorHAnsi"/>
        </w:rPr>
      </w:pPr>
      <w:r w:rsidRPr="00A13AB6">
        <w:rPr>
          <w:rFonts w:eastAsia="Arial" w:cstheme="minorHAnsi"/>
        </w:rPr>
        <w:t xml:space="preserve">The </w:t>
      </w:r>
      <w:r w:rsidR="00044E65">
        <w:rPr>
          <w:rFonts w:eastAsia="Arial" w:cstheme="minorHAnsi"/>
        </w:rPr>
        <w:t xml:space="preserve">RiskGPS </w:t>
      </w:r>
      <w:r w:rsidRPr="00A13AB6">
        <w:rPr>
          <w:rFonts w:eastAsia="Arial" w:cstheme="minorHAnsi"/>
        </w:rPr>
        <w:t xml:space="preserve">report provides traditional risk measurements along with </w:t>
      </w:r>
      <w:r w:rsidR="00044E65">
        <w:rPr>
          <w:rFonts w:eastAsia="Arial" w:cstheme="minorHAnsi"/>
        </w:rPr>
        <w:t xml:space="preserve">a unique </w:t>
      </w:r>
      <w:r w:rsidRPr="00A13AB6">
        <w:rPr>
          <w:rFonts w:eastAsia="Arial" w:cstheme="minorHAnsi"/>
        </w:rPr>
        <w:t>technique to help control rate risk called Asset</w:t>
      </w:r>
      <w:r w:rsidR="00044E65">
        <w:rPr>
          <w:rFonts w:eastAsia="Arial" w:cstheme="minorHAnsi"/>
        </w:rPr>
        <w:t xml:space="preserve"> </w:t>
      </w:r>
      <w:r w:rsidRPr="00A13AB6">
        <w:rPr>
          <w:rFonts w:eastAsia="Arial" w:cstheme="minorHAnsi"/>
        </w:rPr>
        <w:t xml:space="preserve">Liability Strategy Bubbles. In one chart, </w:t>
      </w:r>
      <w:r w:rsidR="00044E65" w:rsidRPr="00A13AB6">
        <w:rPr>
          <w:rFonts w:eastAsia="Arial" w:cstheme="minorHAnsi"/>
        </w:rPr>
        <w:t>all</w:t>
      </w:r>
      <w:r w:rsidRPr="00A13AB6">
        <w:rPr>
          <w:rFonts w:eastAsia="Arial" w:cstheme="minorHAnsi"/>
        </w:rPr>
        <w:t xml:space="preserve"> components of risk are brought together visually to depict the risk to both net interest margin and EVE, as well as the underlying causes. This view allows the reader to quickly and easily comprehend the scope of the problem, as well as the solution with its Risk/Reward trade-off.</w:t>
      </w:r>
    </w:p>
    <w:p w14:paraId="6E303EAC" w14:textId="77777777" w:rsidR="00A13AB6" w:rsidRPr="00A13AB6" w:rsidRDefault="00A13AB6" w:rsidP="00A13AB6">
      <w:pPr>
        <w:spacing w:after="0"/>
        <w:ind w:right="810"/>
        <w:rPr>
          <w:rFonts w:eastAsia="Arial" w:cstheme="minorHAnsi"/>
        </w:rPr>
      </w:pPr>
    </w:p>
    <w:p w14:paraId="4BE12BCB" w14:textId="77777777" w:rsidR="00A13AB6" w:rsidRPr="00A13AB6" w:rsidRDefault="00A13AB6" w:rsidP="00A13AB6">
      <w:pPr>
        <w:spacing w:after="0"/>
        <w:ind w:right="810"/>
        <w:rPr>
          <w:rFonts w:eastAsia="Arial" w:cstheme="minorHAnsi"/>
          <w:b/>
          <w:bCs/>
        </w:rPr>
      </w:pPr>
      <w:r w:rsidRPr="00A13AB6">
        <w:rPr>
          <w:rFonts w:eastAsia="Arial" w:cstheme="minorHAnsi"/>
          <w:b/>
          <w:bCs/>
        </w:rPr>
        <w:t>The Data Source</w:t>
      </w:r>
    </w:p>
    <w:p w14:paraId="1859E663" w14:textId="0C811E03" w:rsidR="00A13AB6" w:rsidRPr="00A13AB6" w:rsidRDefault="00A13AB6" w:rsidP="00A13AB6">
      <w:pPr>
        <w:spacing w:after="0"/>
        <w:ind w:right="810"/>
        <w:rPr>
          <w:rFonts w:eastAsia="Arial" w:cstheme="minorHAnsi"/>
        </w:rPr>
      </w:pPr>
      <w:r w:rsidRPr="00A13AB6">
        <w:rPr>
          <w:rFonts w:eastAsia="Arial" w:cstheme="minorHAnsi"/>
        </w:rPr>
        <w:t xml:space="preserve">The </w:t>
      </w:r>
      <w:r w:rsidR="00044E65">
        <w:rPr>
          <w:rFonts w:eastAsia="Arial" w:cstheme="minorHAnsi"/>
        </w:rPr>
        <w:t xml:space="preserve">RiskGPS </w:t>
      </w:r>
      <w:r w:rsidRPr="00A13AB6">
        <w:rPr>
          <w:rFonts w:eastAsia="Arial" w:cstheme="minorHAnsi"/>
        </w:rPr>
        <w:t>analyses are developed using the bank’s Call Report history as taken from the F</w:t>
      </w:r>
      <w:r w:rsidR="00044E65">
        <w:rPr>
          <w:rFonts w:eastAsia="Arial" w:cstheme="minorHAnsi"/>
        </w:rPr>
        <w:t>FIEC</w:t>
      </w:r>
      <w:r w:rsidRPr="00A13AB6">
        <w:rPr>
          <w:rFonts w:eastAsia="Arial" w:cstheme="minorHAnsi"/>
        </w:rPr>
        <w:t xml:space="preserve"> database, as well as some external data. The system examines data covering up to 20 quarters within the context of a full rate cycle giving greater validity to the results. Call Report data provides several benefits: 1) no additional staff time is required to prepare and load data, 2) historical performance statistics with which to discern the bank’s behavioral characteristics, and 3) the ability to test the model accuracy against known historical results, or back</w:t>
      </w:r>
      <w:r w:rsidR="00044E65">
        <w:rPr>
          <w:rFonts w:eastAsia="Arial" w:cstheme="minorHAnsi"/>
        </w:rPr>
        <w:t>-testing</w:t>
      </w:r>
      <w:r w:rsidRPr="00A13AB6">
        <w:rPr>
          <w:rFonts w:eastAsia="Arial" w:cstheme="minorHAnsi"/>
        </w:rPr>
        <w:t>.</w:t>
      </w:r>
    </w:p>
    <w:p w14:paraId="4BE81D0F" w14:textId="77777777" w:rsidR="00A13AB6" w:rsidRPr="00A13AB6" w:rsidRDefault="00A13AB6" w:rsidP="00A13AB6">
      <w:pPr>
        <w:spacing w:after="0"/>
        <w:ind w:right="810"/>
        <w:rPr>
          <w:rFonts w:eastAsia="Arial" w:cstheme="minorHAnsi"/>
        </w:rPr>
      </w:pPr>
    </w:p>
    <w:p w14:paraId="22AFB206" w14:textId="77777777" w:rsidR="00A13AB6" w:rsidRPr="00A13AB6" w:rsidRDefault="00A13AB6" w:rsidP="00A13AB6">
      <w:pPr>
        <w:spacing w:after="0"/>
        <w:ind w:right="810"/>
        <w:rPr>
          <w:rFonts w:eastAsia="Arial" w:cstheme="minorHAnsi"/>
          <w:b/>
          <w:bCs/>
        </w:rPr>
      </w:pPr>
      <w:r w:rsidRPr="00A13AB6">
        <w:rPr>
          <w:rFonts w:eastAsia="Arial" w:cstheme="minorHAnsi"/>
          <w:b/>
          <w:bCs/>
        </w:rPr>
        <w:t>Understanding and Communicating Risk</w:t>
      </w:r>
    </w:p>
    <w:p w14:paraId="39847804" w14:textId="12AEFDA0" w:rsidR="00A13AB6" w:rsidRPr="00A13AB6" w:rsidRDefault="00A13AB6" w:rsidP="00A13AB6">
      <w:pPr>
        <w:spacing w:after="0"/>
        <w:ind w:right="810"/>
        <w:rPr>
          <w:rFonts w:eastAsia="Arial" w:cstheme="minorHAnsi"/>
        </w:rPr>
      </w:pPr>
      <w:r w:rsidRPr="00A13AB6">
        <w:rPr>
          <w:rFonts w:eastAsia="Arial" w:cstheme="minorHAnsi"/>
        </w:rPr>
        <w:t xml:space="preserve">Rate risk analysis can be complex, and often the real challenge lies in the explanation of risk to boards, staff, and examiners. Systems that present several pages of detailed schedules obscure the issues rather than clarify them and inhibit strategy development. To overcome these problems, this report reduces the analyses to easily read charts and graphs supported by explanations. </w:t>
      </w:r>
      <w:r w:rsidR="00044E65">
        <w:rPr>
          <w:rFonts w:eastAsia="Arial" w:cstheme="minorHAnsi"/>
        </w:rPr>
        <w:t xml:space="preserve">The </w:t>
      </w:r>
      <w:r w:rsidRPr="00A13AB6">
        <w:rPr>
          <w:rFonts w:eastAsia="Arial" w:cstheme="minorHAnsi"/>
        </w:rPr>
        <w:t xml:space="preserve">goal </w:t>
      </w:r>
      <w:r w:rsidR="00044E65">
        <w:rPr>
          <w:rFonts w:eastAsia="Arial" w:cstheme="minorHAnsi"/>
        </w:rPr>
        <w:t xml:space="preserve">of RiskGPS </w:t>
      </w:r>
      <w:r w:rsidRPr="00A13AB6">
        <w:rPr>
          <w:rFonts w:eastAsia="Arial" w:cstheme="minorHAnsi"/>
        </w:rPr>
        <w:t xml:space="preserve">is to </w:t>
      </w:r>
      <w:r w:rsidRPr="00A13AB6">
        <w:rPr>
          <w:rFonts w:eastAsia="Arial" w:cstheme="minorHAnsi"/>
        </w:rPr>
        <w:lastRenderedPageBreak/>
        <w:t>improve both understanding and communication of the</w:t>
      </w:r>
      <w:r w:rsidR="00044E65">
        <w:rPr>
          <w:rFonts w:eastAsia="Arial" w:cstheme="minorHAnsi"/>
        </w:rPr>
        <w:t xml:space="preserve"> bank’s</w:t>
      </w:r>
      <w:r w:rsidRPr="00A13AB6">
        <w:rPr>
          <w:rFonts w:eastAsia="Arial" w:cstheme="minorHAnsi"/>
        </w:rPr>
        <w:t xml:space="preserve"> risks and the strategies for dealing with those risks. Understanding and communicating risk is at the heart of the concerns of banking regulators.</w:t>
      </w:r>
    </w:p>
    <w:p w14:paraId="63A0A699" w14:textId="77777777" w:rsidR="00A13AB6" w:rsidRDefault="00A13AB6" w:rsidP="00A13AB6">
      <w:pPr>
        <w:spacing w:after="0"/>
        <w:ind w:right="810"/>
        <w:rPr>
          <w:rFonts w:eastAsia="Arial" w:cstheme="minorHAnsi"/>
          <w:b/>
          <w:bCs/>
        </w:rPr>
      </w:pPr>
    </w:p>
    <w:p w14:paraId="29FD01A1" w14:textId="2FAEE554" w:rsidR="00A13AB6" w:rsidRPr="00A13AB6" w:rsidRDefault="00A13AB6" w:rsidP="00A13AB6">
      <w:pPr>
        <w:spacing w:after="0"/>
        <w:ind w:right="810"/>
        <w:rPr>
          <w:rFonts w:eastAsia="Arial" w:cstheme="minorHAnsi"/>
          <w:b/>
          <w:bCs/>
        </w:rPr>
      </w:pPr>
      <w:r w:rsidRPr="00A13AB6">
        <w:rPr>
          <w:rFonts w:eastAsia="Arial" w:cstheme="minorHAnsi"/>
          <w:b/>
          <w:bCs/>
        </w:rPr>
        <w:t>A Word About Accuracy</w:t>
      </w:r>
    </w:p>
    <w:p w14:paraId="6A343E99" w14:textId="35BEA1E4" w:rsidR="00A13AB6" w:rsidRPr="00A13AB6" w:rsidRDefault="00044E65" w:rsidP="00A13AB6">
      <w:pPr>
        <w:spacing w:after="0"/>
        <w:ind w:right="810"/>
        <w:rPr>
          <w:rFonts w:eastAsia="Arial" w:cstheme="minorHAnsi"/>
        </w:rPr>
      </w:pPr>
      <w:r>
        <w:rPr>
          <w:rFonts w:eastAsia="Arial" w:cstheme="minorHAnsi"/>
        </w:rPr>
        <w:t>RiskGPS users</w:t>
      </w:r>
      <w:r w:rsidR="00A13AB6" w:rsidRPr="00A13AB6">
        <w:rPr>
          <w:rFonts w:eastAsia="Arial" w:cstheme="minorHAnsi"/>
        </w:rPr>
        <w:t xml:space="preserve"> should recognize that</w:t>
      </w:r>
      <w:r>
        <w:rPr>
          <w:rFonts w:eastAsia="Arial" w:cstheme="minorHAnsi"/>
        </w:rPr>
        <w:t>,</w:t>
      </w:r>
      <w:r w:rsidR="00A13AB6" w:rsidRPr="00A13AB6">
        <w:rPr>
          <w:rFonts w:eastAsia="Arial" w:cstheme="minorHAnsi"/>
        </w:rPr>
        <w:t xml:space="preserve"> while the data used in the analyses are limited to the Call Report detail, the results are within an acceptable range of accuracy for an uncomplicated community bank. Risk measurement itself is an imprecise science where all results are estimates at best. RiskGPS provides a reasonable assessment of interest rate risk with a minimal investment of both time and expense.  We say that it is the 90/10 rule, that is, it provides 90% of the answers with only 10% of the effort and cost. If due to the complexity of the balance sheet the bank requires a more detailed analysis, Plansmith’s Financial Compass system provides additional capacity and capability. It is a complete bank simulator that provides greater granularity with more detailed assumptions to deal with complex instruments.</w:t>
      </w:r>
      <w:r w:rsidR="00A13AB6" w:rsidRPr="00A13AB6">
        <w:rPr>
          <w:rFonts w:cstheme="minorHAnsi"/>
          <w:spacing w:val="32"/>
        </w:rPr>
        <w:t xml:space="preserve"> </w:t>
      </w:r>
      <w:r w:rsidR="00A13AB6" w:rsidRPr="00A13AB6">
        <w:rPr>
          <w:rFonts w:eastAsia="Arial" w:cstheme="minorHAnsi"/>
          <w:b/>
          <w:bCs/>
          <w:i/>
          <w:iCs/>
        </w:rPr>
        <w:t>Financial Compass©</w:t>
      </w:r>
      <w:r w:rsidR="00A13AB6" w:rsidRPr="00A13AB6">
        <w:rPr>
          <w:rFonts w:eastAsia="Arial" w:cstheme="minorHAnsi"/>
        </w:rPr>
        <w:t xml:space="preserve"> is an instrument-level analysis system that pulls its data from the bank’s accounting systems </w:t>
      </w:r>
      <w:proofErr w:type="gramStart"/>
      <w:r w:rsidR="00A13AB6" w:rsidRPr="00A13AB6">
        <w:rPr>
          <w:rFonts w:eastAsia="Arial" w:cstheme="minorHAnsi"/>
        </w:rPr>
        <w:t xml:space="preserve">on </w:t>
      </w:r>
      <w:r w:rsidRPr="00A13AB6">
        <w:rPr>
          <w:rFonts w:eastAsia="Arial" w:cstheme="minorHAnsi"/>
        </w:rPr>
        <w:t>a monthly</w:t>
      </w:r>
      <w:r w:rsidR="00A13AB6" w:rsidRPr="00A13AB6">
        <w:rPr>
          <w:rFonts w:eastAsia="Arial" w:cstheme="minorHAnsi"/>
        </w:rPr>
        <w:t xml:space="preserve"> basis</w:t>
      </w:r>
      <w:proofErr w:type="gramEnd"/>
      <w:r w:rsidR="00A13AB6" w:rsidRPr="00A13AB6">
        <w:rPr>
          <w:rFonts w:eastAsia="Arial" w:cstheme="minorHAnsi"/>
        </w:rPr>
        <w:t>.  To learn more about Plansmith’s complete range of products and services, call Plansmith at 800-323-3281.</w:t>
      </w:r>
    </w:p>
    <w:p w14:paraId="71526DDD" w14:textId="77777777" w:rsidR="00A13AB6" w:rsidRPr="00A13AB6" w:rsidRDefault="00A13AB6" w:rsidP="00A13AB6">
      <w:pPr>
        <w:spacing w:after="0"/>
        <w:ind w:right="810"/>
        <w:rPr>
          <w:rFonts w:cstheme="minorHAnsi"/>
        </w:rPr>
      </w:pPr>
    </w:p>
    <w:p w14:paraId="024DA1EA" w14:textId="77777777" w:rsidR="00A13AB6" w:rsidRPr="00A13AB6" w:rsidRDefault="00A13AB6" w:rsidP="00A13AB6">
      <w:pPr>
        <w:spacing w:after="0"/>
        <w:ind w:right="810"/>
        <w:rPr>
          <w:rFonts w:eastAsia="Arial" w:cstheme="minorHAnsi"/>
          <w:color w:val="000000" w:themeColor="text1"/>
        </w:rPr>
      </w:pPr>
      <w:r w:rsidRPr="00A13AB6">
        <w:rPr>
          <w:rFonts w:eastAsia="Arial" w:cstheme="minorHAnsi"/>
          <w:b/>
          <w:color w:val="000000" w:themeColor="text1"/>
          <w:position w:val="-1"/>
        </w:rPr>
        <w:t>Executive</w:t>
      </w:r>
      <w:r w:rsidRPr="00A13AB6">
        <w:rPr>
          <w:rFonts w:cstheme="minorHAnsi"/>
          <w:b/>
          <w:color w:val="000000" w:themeColor="text1"/>
          <w:spacing w:val="29"/>
          <w:position w:val="-1"/>
        </w:rPr>
        <w:t xml:space="preserve"> </w:t>
      </w:r>
      <w:r w:rsidRPr="00A13AB6">
        <w:rPr>
          <w:rFonts w:eastAsia="Arial" w:cstheme="minorHAnsi"/>
          <w:b/>
          <w:color w:val="000000" w:themeColor="text1"/>
          <w:w w:val="102"/>
          <w:position w:val="-1"/>
        </w:rPr>
        <w:t>Summary</w:t>
      </w:r>
    </w:p>
    <w:p w14:paraId="77492D66" w14:textId="77777777" w:rsidR="00A13AB6" w:rsidRPr="00A13AB6" w:rsidRDefault="00A13AB6" w:rsidP="00A13AB6">
      <w:pPr>
        <w:spacing w:after="0"/>
        <w:ind w:right="810"/>
        <w:rPr>
          <w:rFonts w:cstheme="minorHAnsi"/>
          <w:b/>
          <w:bCs/>
        </w:rPr>
      </w:pPr>
      <w:r w:rsidRPr="00A13AB6">
        <w:rPr>
          <w:rFonts w:cstheme="minorHAnsi"/>
          <w:b/>
          <w:bCs/>
        </w:rPr>
        <w:t>Net Interest Margin Assessment</w:t>
      </w:r>
    </w:p>
    <w:p w14:paraId="4D5FA661" w14:textId="77777777" w:rsidR="00A13AB6" w:rsidRPr="00A13AB6" w:rsidRDefault="00A13AB6" w:rsidP="00A13AB6">
      <w:pPr>
        <w:spacing w:after="0"/>
        <w:ind w:right="810"/>
        <w:rPr>
          <w:rFonts w:cstheme="minorHAnsi"/>
        </w:rPr>
      </w:pPr>
      <w:r w:rsidRPr="00A13AB6">
        <w:rPr>
          <w:rFonts w:cstheme="minorHAnsi"/>
        </w:rPr>
        <w:t xml:space="preserve">Bank management must ensure that risk is measured over a potential range of interest rate changes including both parallel and non-parallel yield curve shifts. </w:t>
      </w:r>
    </w:p>
    <w:p w14:paraId="697EBF9C" w14:textId="77777777" w:rsidR="00A13AB6" w:rsidRPr="00A13AB6" w:rsidRDefault="00A13AB6" w:rsidP="00A13AB6">
      <w:pPr>
        <w:spacing w:after="0"/>
        <w:ind w:right="810"/>
        <w:rPr>
          <w:rFonts w:cstheme="minorHAnsi"/>
        </w:rPr>
      </w:pPr>
    </w:p>
    <w:p w14:paraId="3E89C4D9" w14:textId="77777777" w:rsidR="00A13AB6" w:rsidRPr="00A13AB6" w:rsidRDefault="00A13AB6" w:rsidP="00A13AB6">
      <w:pPr>
        <w:spacing w:after="0"/>
        <w:ind w:right="810"/>
        <w:rPr>
          <w:rFonts w:cstheme="minorHAnsi"/>
          <w:b/>
          <w:bCs/>
        </w:rPr>
      </w:pPr>
      <w:r w:rsidRPr="00A13AB6">
        <w:rPr>
          <w:rFonts w:cstheme="minorHAnsi"/>
          <w:b/>
          <w:bCs/>
        </w:rPr>
        <w:t>Economic Value of Equity</w:t>
      </w:r>
    </w:p>
    <w:p w14:paraId="4651985E" w14:textId="6B221987" w:rsidR="00A13AB6" w:rsidRPr="00A13AB6" w:rsidRDefault="00A13AB6" w:rsidP="00A13AB6">
      <w:pPr>
        <w:spacing w:after="0"/>
        <w:ind w:right="810"/>
        <w:rPr>
          <w:rFonts w:cstheme="minorHAnsi"/>
        </w:rPr>
      </w:pPr>
      <w:r w:rsidRPr="00A13AB6">
        <w:rPr>
          <w:rFonts w:cstheme="minorHAnsi"/>
        </w:rPr>
        <w:t xml:space="preserve">The Economic Value of Equity is a function of the duration difference between </w:t>
      </w:r>
      <w:r w:rsidR="00044E65" w:rsidRPr="00A13AB6">
        <w:rPr>
          <w:rFonts w:cstheme="minorHAnsi"/>
        </w:rPr>
        <w:t>assets</w:t>
      </w:r>
      <w:r w:rsidRPr="00A13AB6">
        <w:rPr>
          <w:rFonts w:cstheme="minorHAnsi"/>
        </w:rPr>
        <w:t xml:space="preserve"> and liabilities. The severity of potential loss is measured by the Equity Risk Cushion which tells whether the bank </w:t>
      </w:r>
      <w:proofErr w:type="gramStart"/>
      <w:r w:rsidRPr="00A13AB6">
        <w:rPr>
          <w:rFonts w:cstheme="minorHAnsi"/>
        </w:rPr>
        <w:t xml:space="preserve">is </w:t>
      </w:r>
      <w:r w:rsidR="00044E65" w:rsidRPr="00A13AB6">
        <w:rPr>
          <w:rFonts w:cstheme="minorHAnsi"/>
        </w:rPr>
        <w:t>able</w:t>
      </w:r>
      <w:r w:rsidRPr="00A13AB6">
        <w:rPr>
          <w:rFonts w:cstheme="minorHAnsi"/>
        </w:rPr>
        <w:t xml:space="preserve"> to</w:t>
      </w:r>
      <w:proofErr w:type="gramEnd"/>
      <w:r w:rsidRPr="00A13AB6">
        <w:rPr>
          <w:rFonts w:cstheme="minorHAnsi"/>
        </w:rPr>
        <w:t xml:space="preserve"> absorb a loss and maintain </w:t>
      </w:r>
      <w:r w:rsidR="00044E65">
        <w:rPr>
          <w:rFonts w:cstheme="minorHAnsi"/>
        </w:rPr>
        <w:t xml:space="preserve">the </w:t>
      </w:r>
      <w:r w:rsidRPr="00A13AB6">
        <w:rPr>
          <w:rFonts w:cstheme="minorHAnsi"/>
        </w:rPr>
        <w:t>minimum equity ratio.</w:t>
      </w:r>
    </w:p>
    <w:p w14:paraId="434F1854" w14:textId="77777777" w:rsidR="00A13AB6" w:rsidRPr="00A13AB6" w:rsidRDefault="00A13AB6" w:rsidP="00A13AB6">
      <w:pPr>
        <w:spacing w:after="0"/>
        <w:ind w:right="810"/>
        <w:rPr>
          <w:rFonts w:cstheme="minorHAnsi"/>
        </w:rPr>
      </w:pPr>
    </w:p>
    <w:p w14:paraId="4C65219C" w14:textId="77777777" w:rsidR="00A13AB6" w:rsidRPr="00A13AB6" w:rsidRDefault="00A13AB6" w:rsidP="00A13AB6">
      <w:pPr>
        <w:spacing w:after="0"/>
        <w:ind w:right="810"/>
        <w:rPr>
          <w:rFonts w:cstheme="minorHAnsi"/>
          <w:b/>
          <w:bCs/>
        </w:rPr>
      </w:pPr>
      <w:r w:rsidRPr="00A13AB6">
        <w:rPr>
          <w:rFonts w:cstheme="minorHAnsi"/>
          <w:b/>
          <w:bCs/>
        </w:rPr>
        <w:t>What to Expect</w:t>
      </w:r>
    </w:p>
    <w:p w14:paraId="32DD66BA" w14:textId="77777777" w:rsidR="00420873" w:rsidRDefault="00044E65" w:rsidP="00420873">
      <w:pPr>
        <w:spacing w:after="0"/>
        <w:ind w:right="810"/>
        <w:rPr>
          <w:rFonts w:eastAsia="Arial" w:cstheme="minorHAnsi"/>
        </w:rPr>
      </w:pPr>
      <w:r>
        <w:rPr>
          <w:rFonts w:cstheme="minorHAnsi"/>
        </w:rPr>
        <w:t>RiskGPS transforms</w:t>
      </w:r>
      <w:r w:rsidR="00A13AB6" w:rsidRPr="00A13AB6">
        <w:rPr>
          <w:rFonts w:cstheme="minorHAnsi"/>
        </w:rPr>
        <w:t xml:space="preserve"> </w:t>
      </w:r>
      <w:r>
        <w:rPr>
          <w:rFonts w:cstheme="minorHAnsi"/>
        </w:rPr>
        <w:t>a</w:t>
      </w:r>
      <w:r w:rsidR="00A13AB6" w:rsidRPr="00A13AB6">
        <w:rPr>
          <w:rFonts w:cstheme="minorHAnsi"/>
        </w:rPr>
        <w:t xml:space="preserve"> bank's Call Report data into a credible interest rate risk analysis. This is a multi-step process</w:t>
      </w:r>
      <w:r>
        <w:rPr>
          <w:rFonts w:cstheme="minorHAnsi"/>
        </w:rPr>
        <w:t>.</w:t>
      </w:r>
      <w:r w:rsidR="00420873">
        <w:rPr>
          <w:rFonts w:cstheme="minorHAnsi"/>
        </w:rPr>
        <w:t xml:space="preserve"> </w:t>
      </w:r>
      <w:r w:rsidR="00420873" w:rsidRPr="00A13AB6">
        <w:rPr>
          <w:rFonts w:eastAsia="Arial" w:cstheme="minorHAnsi"/>
        </w:rPr>
        <w:t xml:space="preserve">The results of all these analyses have been summarized in the Executive Summary (page 2 of the RiskGPS report). </w:t>
      </w:r>
    </w:p>
    <w:p w14:paraId="51DA0FAD" w14:textId="77777777" w:rsidR="00420873" w:rsidRPr="00A13AB6" w:rsidRDefault="00420873" w:rsidP="00420873">
      <w:pPr>
        <w:spacing w:after="0"/>
        <w:ind w:right="810"/>
        <w:rPr>
          <w:rFonts w:eastAsia="Arial" w:cstheme="minorHAnsi"/>
        </w:rPr>
      </w:pPr>
    </w:p>
    <w:p w14:paraId="39DAEB21" w14:textId="4673ECBF" w:rsidR="00A13AB6" w:rsidRPr="00044E65" w:rsidRDefault="00A13AB6" w:rsidP="00044E65">
      <w:pPr>
        <w:pStyle w:val="ListParagraph"/>
        <w:numPr>
          <w:ilvl w:val="1"/>
          <w:numId w:val="64"/>
        </w:numPr>
        <w:spacing w:after="0"/>
        <w:ind w:left="810" w:right="810" w:hanging="450"/>
        <w:rPr>
          <w:rFonts w:cstheme="minorHAnsi"/>
          <w:b/>
          <w:bCs/>
        </w:rPr>
      </w:pPr>
      <w:r w:rsidRPr="00044E65">
        <w:rPr>
          <w:rFonts w:cstheme="minorHAnsi"/>
          <w:b/>
          <w:bCs/>
        </w:rPr>
        <w:t>Risk Tolerance</w:t>
      </w:r>
    </w:p>
    <w:p w14:paraId="2D5597E6" w14:textId="77777777" w:rsidR="00044E65" w:rsidRDefault="00A13AB6" w:rsidP="00044E65">
      <w:pPr>
        <w:spacing w:after="0"/>
        <w:ind w:right="810"/>
        <w:rPr>
          <w:rFonts w:cstheme="minorHAnsi"/>
        </w:rPr>
      </w:pPr>
      <w:r w:rsidRPr="00A13AB6">
        <w:rPr>
          <w:rFonts w:cstheme="minorHAnsi"/>
        </w:rPr>
        <w:t xml:space="preserve">The first requirement is to determine the benchmark against which to measure the severity of the risk the analysis will measure. This benchmark is the bank’s minimum required interest income. </w:t>
      </w:r>
      <w:r w:rsidRPr="00044E65">
        <w:rPr>
          <w:rFonts w:cstheme="minorHAnsi"/>
          <w:i/>
          <w:iCs/>
        </w:rPr>
        <w:t>The ability to absorb income loss and maintain adequate equity is called Risk Tolerance.</w:t>
      </w:r>
    </w:p>
    <w:p w14:paraId="61A5149F" w14:textId="77777777" w:rsidR="00044E65" w:rsidRDefault="00044E65" w:rsidP="00044E65">
      <w:pPr>
        <w:spacing w:after="0"/>
        <w:ind w:right="810"/>
        <w:rPr>
          <w:rFonts w:cstheme="minorHAnsi"/>
        </w:rPr>
      </w:pPr>
    </w:p>
    <w:p w14:paraId="08795B3C" w14:textId="63A608D1" w:rsidR="00A13AB6" w:rsidRPr="00044E65" w:rsidRDefault="00A13AB6" w:rsidP="00044E65">
      <w:pPr>
        <w:pStyle w:val="ListParagraph"/>
        <w:numPr>
          <w:ilvl w:val="0"/>
          <w:numId w:val="61"/>
        </w:numPr>
        <w:spacing w:after="0"/>
        <w:ind w:right="810"/>
        <w:rPr>
          <w:rFonts w:cstheme="minorHAnsi"/>
        </w:rPr>
      </w:pPr>
      <w:r w:rsidRPr="00044E65">
        <w:rPr>
          <w:rFonts w:cstheme="minorHAnsi"/>
          <w:b/>
          <w:bCs/>
        </w:rPr>
        <w:t>Data Conversion and Gap</w:t>
      </w:r>
    </w:p>
    <w:p w14:paraId="470E52E4" w14:textId="77777777" w:rsidR="00420873" w:rsidRDefault="00A13AB6" w:rsidP="00420873">
      <w:pPr>
        <w:spacing w:after="0"/>
        <w:ind w:right="810"/>
        <w:rPr>
          <w:rFonts w:cstheme="minorHAnsi"/>
        </w:rPr>
      </w:pPr>
      <w:r w:rsidRPr="00A13AB6">
        <w:rPr>
          <w:rFonts w:cstheme="minorHAnsi"/>
        </w:rPr>
        <w:t>While Call Report data is a rich source of information, it must be modified for risk measurement to be accurate and credible. This is a three-step process:</w:t>
      </w:r>
    </w:p>
    <w:p w14:paraId="6BF1AAD5" w14:textId="77777777" w:rsidR="00420873" w:rsidRDefault="00A13AB6" w:rsidP="00420873">
      <w:pPr>
        <w:pStyle w:val="ListParagraph"/>
        <w:numPr>
          <w:ilvl w:val="0"/>
          <w:numId w:val="37"/>
        </w:numPr>
        <w:spacing w:after="0"/>
        <w:ind w:right="810"/>
        <w:rPr>
          <w:rFonts w:cstheme="minorHAnsi"/>
        </w:rPr>
      </w:pPr>
      <w:r w:rsidRPr="00420873">
        <w:rPr>
          <w:rFonts w:cstheme="minorHAnsi"/>
        </w:rPr>
        <w:t>Determine the rate sensitivity of the non-maturing balances using their beta factors. The beta factors are the repricing speeds in the Gap report and in Rate Shock Simulations</w:t>
      </w:r>
    </w:p>
    <w:p w14:paraId="1F03997D" w14:textId="77777777" w:rsidR="00420873" w:rsidRDefault="00A13AB6" w:rsidP="00420873">
      <w:pPr>
        <w:pStyle w:val="ListParagraph"/>
        <w:numPr>
          <w:ilvl w:val="0"/>
          <w:numId w:val="37"/>
        </w:numPr>
        <w:spacing w:after="0"/>
        <w:ind w:right="810"/>
        <w:rPr>
          <w:rFonts w:cstheme="minorHAnsi"/>
        </w:rPr>
      </w:pPr>
      <w:r w:rsidRPr="00420873">
        <w:rPr>
          <w:rFonts w:cstheme="minorHAnsi"/>
        </w:rPr>
        <w:t xml:space="preserve">Convert loan maturities to cash flows by amortizing their cash flows and applying current prepayment speeds. </w:t>
      </w:r>
    </w:p>
    <w:p w14:paraId="75B63ECF" w14:textId="447A3301" w:rsidR="00A13AB6" w:rsidRPr="00420873" w:rsidRDefault="00A13AB6" w:rsidP="00420873">
      <w:pPr>
        <w:pStyle w:val="ListParagraph"/>
        <w:numPr>
          <w:ilvl w:val="0"/>
          <w:numId w:val="37"/>
        </w:numPr>
        <w:spacing w:after="0"/>
        <w:ind w:right="810"/>
        <w:rPr>
          <w:rFonts w:cstheme="minorHAnsi"/>
        </w:rPr>
      </w:pPr>
      <w:r w:rsidRPr="00420873">
        <w:rPr>
          <w:rFonts w:cstheme="minorHAnsi"/>
        </w:rPr>
        <w:t>Estimate the volume of floating rate loans to perform an accurate simulation of income as rates change.</w:t>
      </w:r>
    </w:p>
    <w:p w14:paraId="6B947A51" w14:textId="77777777" w:rsidR="00A13AB6" w:rsidRPr="00A13AB6" w:rsidRDefault="00A13AB6" w:rsidP="00A13AB6">
      <w:pPr>
        <w:spacing w:after="0"/>
        <w:ind w:right="810"/>
        <w:rPr>
          <w:rFonts w:cstheme="minorHAnsi"/>
        </w:rPr>
      </w:pPr>
    </w:p>
    <w:p w14:paraId="7326F1FB" w14:textId="03BDFEB5" w:rsidR="00A13AB6" w:rsidRPr="00821626" w:rsidRDefault="00420873" w:rsidP="00420873">
      <w:pPr>
        <w:spacing w:after="0"/>
        <w:ind w:right="720"/>
        <w:rPr>
          <w:rFonts w:cstheme="minorHAnsi"/>
        </w:rPr>
      </w:pPr>
      <w:r>
        <w:rPr>
          <w:rFonts w:cstheme="minorHAnsi"/>
        </w:rPr>
        <w:t>The RiskGPS</w:t>
      </w:r>
      <w:r w:rsidR="00A13AB6" w:rsidRPr="00A13AB6">
        <w:rPr>
          <w:rFonts w:cstheme="minorHAnsi"/>
        </w:rPr>
        <w:t xml:space="preserve"> user has access to all System Estimates and can adjust these values to reflect management’s own analysis.</w:t>
      </w:r>
    </w:p>
    <w:p w14:paraId="7513EEC0" w14:textId="77777777" w:rsidR="00A13AB6" w:rsidRDefault="00A13AB6" w:rsidP="00A13AB6">
      <w:pPr>
        <w:spacing w:after="0"/>
        <w:ind w:right="810"/>
        <w:rPr>
          <w:rFonts w:cstheme="minorHAnsi"/>
          <w:b/>
          <w:bCs/>
        </w:rPr>
      </w:pPr>
    </w:p>
    <w:p w14:paraId="35334825" w14:textId="5909B626" w:rsidR="00A13AB6" w:rsidRPr="00420873" w:rsidRDefault="00A13AB6" w:rsidP="00420873">
      <w:pPr>
        <w:pStyle w:val="ListParagraph"/>
        <w:numPr>
          <w:ilvl w:val="0"/>
          <w:numId w:val="61"/>
        </w:numPr>
        <w:spacing w:after="0"/>
        <w:ind w:right="810"/>
        <w:rPr>
          <w:rFonts w:cstheme="minorHAnsi"/>
          <w:b/>
          <w:bCs/>
        </w:rPr>
      </w:pPr>
      <w:r w:rsidRPr="00420873">
        <w:rPr>
          <w:rFonts w:cstheme="minorHAnsi"/>
          <w:b/>
          <w:bCs/>
        </w:rPr>
        <w:t>Rate Shock Simulation of Income</w:t>
      </w:r>
    </w:p>
    <w:p w14:paraId="30292A02" w14:textId="77777777" w:rsidR="00420873" w:rsidRDefault="00420873" w:rsidP="00420873">
      <w:pPr>
        <w:spacing w:after="0"/>
        <w:ind w:right="810"/>
        <w:rPr>
          <w:rFonts w:cstheme="minorHAnsi"/>
        </w:rPr>
      </w:pPr>
      <w:r>
        <w:rPr>
          <w:rFonts w:cstheme="minorHAnsi"/>
        </w:rPr>
        <w:t>RiskGPS</w:t>
      </w:r>
      <w:r w:rsidR="00A13AB6" w:rsidRPr="00A13AB6">
        <w:rPr>
          <w:rFonts w:cstheme="minorHAnsi"/>
        </w:rPr>
        <w:t xml:space="preserve"> performs a full simulation of each balance sheet category under various rate change conditions and calculates the net interest income change for each. A convenient chart shows the impact of rate change over various rate changes and relates the Net Interest Income ratio (% of Earning Assets) to the bank’s required Net Interest Margin developed in Risk Tolerance. This is very helpful when presenting risk issues to the board.</w:t>
      </w:r>
      <w:r>
        <w:rPr>
          <w:rFonts w:cstheme="minorHAnsi"/>
        </w:rPr>
        <w:t xml:space="preserve"> </w:t>
      </w:r>
    </w:p>
    <w:p w14:paraId="6AE1AB5E" w14:textId="77777777" w:rsidR="00420873" w:rsidRDefault="00420873" w:rsidP="00420873">
      <w:pPr>
        <w:spacing w:after="0"/>
        <w:ind w:right="810"/>
        <w:rPr>
          <w:rFonts w:cstheme="minorHAnsi"/>
        </w:rPr>
      </w:pPr>
    </w:p>
    <w:p w14:paraId="0FA74C5E" w14:textId="538CC971" w:rsidR="00A13AB6" w:rsidRPr="00420873" w:rsidRDefault="00A13AB6" w:rsidP="00420873">
      <w:pPr>
        <w:pStyle w:val="ListParagraph"/>
        <w:numPr>
          <w:ilvl w:val="0"/>
          <w:numId w:val="66"/>
        </w:numPr>
        <w:spacing w:after="0"/>
        <w:ind w:left="720" w:right="810"/>
        <w:rPr>
          <w:rFonts w:cstheme="minorHAnsi"/>
        </w:rPr>
      </w:pPr>
      <w:r w:rsidRPr="00420873">
        <w:rPr>
          <w:rFonts w:eastAsia="Arial" w:cstheme="minorHAnsi"/>
          <w:b/>
          <w:bCs/>
        </w:rPr>
        <w:t>Economic Value of Equity Risk</w:t>
      </w:r>
    </w:p>
    <w:p w14:paraId="20296674" w14:textId="09EFFE7C" w:rsidR="00A13AB6" w:rsidRPr="00A13AB6" w:rsidRDefault="00A13AB6" w:rsidP="00A13AB6">
      <w:pPr>
        <w:spacing w:after="0"/>
        <w:ind w:right="810"/>
        <w:rPr>
          <w:rFonts w:eastAsia="Arial" w:cstheme="minorHAnsi"/>
        </w:rPr>
      </w:pPr>
      <w:r w:rsidRPr="00420873">
        <w:rPr>
          <w:rFonts w:eastAsia="Arial" w:cstheme="minorHAnsi"/>
          <w:i/>
          <w:iCs/>
        </w:rPr>
        <w:t>Economic Value of Equity (EVE) is the present value of assets less the present value of liabilities. Present value is calculated using the discounted cash flow method for all balance sheet items.</w:t>
      </w:r>
      <w:r w:rsidRPr="00A13AB6">
        <w:rPr>
          <w:rFonts w:eastAsia="Arial" w:cstheme="minorHAnsi"/>
        </w:rPr>
        <w:t xml:space="preserve"> The difference between the assets and liabilities at each rate level is the bank’s equity on a present value basis. Critical measurements include both the current EVE and the rate of change of equity as rates change. A convenient chart illustrates the changing nature of this value as compared to the bank’s minimum Equity Ratio. The actual value is shown under the chart on page 18. </w:t>
      </w:r>
    </w:p>
    <w:p w14:paraId="6F4C3260" w14:textId="77777777" w:rsidR="00A13AB6" w:rsidRPr="00A13AB6" w:rsidRDefault="00A13AB6" w:rsidP="00A13AB6">
      <w:pPr>
        <w:spacing w:after="0"/>
        <w:ind w:right="810"/>
        <w:rPr>
          <w:rFonts w:eastAsia="Arial" w:cstheme="minorHAnsi"/>
        </w:rPr>
      </w:pPr>
    </w:p>
    <w:p w14:paraId="4B73F580" w14:textId="292C54CE" w:rsidR="00A13AB6" w:rsidRPr="00A13AB6" w:rsidRDefault="00A13AB6" w:rsidP="00A13AB6">
      <w:pPr>
        <w:spacing w:after="0"/>
        <w:ind w:right="810"/>
        <w:rPr>
          <w:rFonts w:cstheme="minorHAnsi"/>
          <w:b/>
          <w:bCs/>
        </w:rPr>
      </w:pPr>
      <w:r w:rsidRPr="00A13AB6">
        <w:rPr>
          <w:rFonts w:cstheme="minorHAnsi"/>
          <w:b/>
          <w:bCs/>
        </w:rPr>
        <w:t>Risk Management Strategy</w:t>
      </w:r>
    </w:p>
    <w:p w14:paraId="3A9E1A6C" w14:textId="19D47536" w:rsidR="00A13AB6" w:rsidRPr="00A13AB6" w:rsidRDefault="00420873" w:rsidP="00A13AB6">
      <w:pPr>
        <w:spacing w:after="0"/>
        <w:ind w:right="810"/>
        <w:rPr>
          <w:rFonts w:cstheme="minorHAnsi"/>
        </w:rPr>
      </w:pPr>
      <w:r>
        <w:rPr>
          <w:rFonts w:cstheme="minorHAnsi"/>
        </w:rPr>
        <w:t>RiskGPS</w:t>
      </w:r>
      <w:r w:rsidR="00A13AB6" w:rsidRPr="00A13AB6">
        <w:rPr>
          <w:rFonts w:cstheme="minorHAnsi"/>
        </w:rPr>
        <w:t xml:space="preserve"> provides a simple device to help explain and manage risk. By charting the duration of assets and liabilities and their yields against the yield curve, we can separate the components of the interest margin into the asset benefit, the liability benefit, and that portion of the margin due to risk taking.</w:t>
      </w:r>
    </w:p>
    <w:p w14:paraId="5E6882CA" w14:textId="77777777" w:rsidR="00A13AB6" w:rsidRPr="00A13AB6" w:rsidRDefault="00A13AB6" w:rsidP="00A13AB6">
      <w:pPr>
        <w:spacing w:after="0"/>
        <w:ind w:right="810"/>
        <w:rPr>
          <w:rFonts w:cstheme="minorHAnsi"/>
        </w:rPr>
      </w:pPr>
    </w:p>
    <w:p w14:paraId="6A6E6C40" w14:textId="77777777" w:rsidR="00A13AB6" w:rsidRPr="00A13AB6" w:rsidRDefault="00A13AB6" w:rsidP="00A13AB6">
      <w:pPr>
        <w:spacing w:after="0"/>
        <w:ind w:right="810"/>
        <w:rPr>
          <w:rFonts w:cstheme="minorHAnsi"/>
          <w:b/>
          <w:bCs/>
        </w:rPr>
      </w:pPr>
      <w:r w:rsidRPr="00A13AB6">
        <w:rPr>
          <w:rFonts w:cstheme="minorHAnsi"/>
          <w:b/>
          <w:bCs/>
        </w:rPr>
        <w:t>Performance Projections</w:t>
      </w:r>
    </w:p>
    <w:p w14:paraId="293BD088" w14:textId="0C75DE4A" w:rsidR="00A13AB6" w:rsidRPr="00420873" w:rsidRDefault="00A13AB6" w:rsidP="000A7D27">
      <w:pPr>
        <w:spacing w:after="0"/>
        <w:ind w:right="810"/>
        <w:jc w:val="both"/>
        <w:rPr>
          <w:rFonts w:eastAsia="Arial" w:cstheme="minorHAnsi"/>
          <w:i/>
          <w:iCs/>
        </w:rPr>
      </w:pPr>
      <w:r w:rsidRPr="00420873">
        <w:rPr>
          <w:rFonts w:eastAsia="Arial" w:cstheme="minorHAnsi"/>
          <w:i/>
          <w:iCs/>
          <w:spacing w:val="7"/>
        </w:rPr>
        <w:t>Usin</w:t>
      </w:r>
      <w:r w:rsidRPr="00420873">
        <w:rPr>
          <w:rFonts w:eastAsia="Arial" w:cstheme="minorHAnsi"/>
          <w:i/>
          <w:iCs/>
        </w:rPr>
        <w:t>g</w:t>
      </w:r>
      <w:r w:rsidRPr="00420873">
        <w:rPr>
          <w:rFonts w:cstheme="minorHAnsi"/>
          <w:i/>
          <w:iCs/>
          <w:spacing w:val="14"/>
        </w:rPr>
        <w:t xml:space="preserve"> </w:t>
      </w:r>
      <w:r w:rsidRPr="00420873">
        <w:rPr>
          <w:rFonts w:eastAsia="Arial" w:cstheme="minorHAnsi"/>
          <w:i/>
          <w:iCs/>
          <w:spacing w:val="7"/>
        </w:rPr>
        <w:t>th</w:t>
      </w:r>
      <w:r w:rsidRPr="00420873">
        <w:rPr>
          <w:rFonts w:eastAsia="Arial" w:cstheme="minorHAnsi"/>
          <w:i/>
          <w:iCs/>
        </w:rPr>
        <w:t>e</w:t>
      </w:r>
      <w:r w:rsidRPr="00420873">
        <w:rPr>
          <w:rFonts w:cstheme="minorHAnsi"/>
          <w:i/>
          <w:iCs/>
          <w:spacing w:val="16"/>
        </w:rPr>
        <w:t xml:space="preserve"> </w:t>
      </w:r>
      <w:r w:rsidRPr="00420873">
        <w:rPr>
          <w:rFonts w:eastAsia="Arial" w:cstheme="minorHAnsi"/>
          <w:i/>
          <w:iCs/>
          <w:spacing w:val="7"/>
        </w:rPr>
        <w:t>result</w:t>
      </w:r>
      <w:r w:rsidRPr="00420873">
        <w:rPr>
          <w:rFonts w:eastAsia="Arial" w:cstheme="minorHAnsi"/>
          <w:i/>
          <w:iCs/>
        </w:rPr>
        <w:t>s</w:t>
      </w:r>
      <w:r w:rsidRPr="00420873">
        <w:rPr>
          <w:rFonts w:cstheme="minorHAnsi"/>
          <w:i/>
          <w:iCs/>
          <w:spacing w:val="14"/>
        </w:rPr>
        <w:t xml:space="preserve"> </w:t>
      </w:r>
      <w:r w:rsidRPr="00420873">
        <w:rPr>
          <w:rFonts w:eastAsia="Arial" w:cstheme="minorHAnsi"/>
          <w:i/>
          <w:iCs/>
          <w:spacing w:val="7"/>
        </w:rPr>
        <w:t>o</w:t>
      </w:r>
      <w:r w:rsidRPr="00420873">
        <w:rPr>
          <w:rFonts w:eastAsia="Arial" w:cstheme="minorHAnsi"/>
          <w:i/>
          <w:iCs/>
        </w:rPr>
        <w:t>f</w:t>
      </w:r>
      <w:r w:rsidRPr="00420873">
        <w:rPr>
          <w:rFonts w:cstheme="minorHAnsi"/>
          <w:i/>
          <w:iCs/>
          <w:spacing w:val="17"/>
        </w:rPr>
        <w:t xml:space="preserve"> </w:t>
      </w:r>
      <w:r w:rsidRPr="00420873">
        <w:rPr>
          <w:rFonts w:eastAsia="Arial" w:cstheme="minorHAnsi"/>
          <w:i/>
          <w:iCs/>
          <w:spacing w:val="7"/>
        </w:rPr>
        <w:t>th</w:t>
      </w:r>
      <w:r w:rsidRPr="00420873">
        <w:rPr>
          <w:rFonts w:eastAsia="Arial" w:cstheme="minorHAnsi"/>
          <w:i/>
          <w:iCs/>
        </w:rPr>
        <w:t>e</w:t>
      </w:r>
      <w:r w:rsidRPr="00420873">
        <w:rPr>
          <w:rFonts w:cstheme="minorHAnsi"/>
          <w:i/>
          <w:iCs/>
          <w:spacing w:val="16"/>
        </w:rPr>
        <w:t xml:space="preserve"> </w:t>
      </w:r>
      <w:r w:rsidRPr="00420873">
        <w:rPr>
          <w:rFonts w:eastAsia="Arial" w:cstheme="minorHAnsi"/>
          <w:i/>
          <w:iCs/>
          <w:spacing w:val="7"/>
        </w:rPr>
        <w:t>Ne</w:t>
      </w:r>
      <w:r w:rsidRPr="00420873">
        <w:rPr>
          <w:rFonts w:eastAsia="Arial" w:cstheme="minorHAnsi"/>
          <w:i/>
          <w:iCs/>
        </w:rPr>
        <w:t>t</w:t>
      </w:r>
      <w:r w:rsidRPr="00420873">
        <w:rPr>
          <w:rFonts w:cstheme="minorHAnsi"/>
          <w:i/>
          <w:iCs/>
          <w:spacing w:val="16"/>
        </w:rPr>
        <w:t xml:space="preserve"> </w:t>
      </w:r>
      <w:r w:rsidRPr="00420873">
        <w:rPr>
          <w:rFonts w:eastAsia="Arial" w:cstheme="minorHAnsi"/>
          <w:i/>
          <w:iCs/>
          <w:spacing w:val="7"/>
        </w:rPr>
        <w:t>Interes</w:t>
      </w:r>
      <w:r w:rsidRPr="00420873">
        <w:rPr>
          <w:rFonts w:eastAsia="Arial" w:cstheme="minorHAnsi"/>
          <w:i/>
          <w:iCs/>
        </w:rPr>
        <w:t>t</w:t>
      </w:r>
      <w:r w:rsidRPr="00420873">
        <w:rPr>
          <w:rFonts w:cstheme="minorHAnsi"/>
          <w:i/>
          <w:iCs/>
          <w:spacing w:val="13"/>
        </w:rPr>
        <w:t xml:space="preserve"> </w:t>
      </w:r>
      <w:r w:rsidRPr="00420873">
        <w:rPr>
          <w:rFonts w:eastAsia="Arial" w:cstheme="minorHAnsi"/>
          <w:i/>
          <w:iCs/>
          <w:spacing w:val="7"/>
        </w:rPr>
        <w:t>Margi</w:t>
      </w:r>
      <w:r w:rsidRPr="00420873">
        <w:rPr>
          <w:rFonts w:eastAsia="Arial" w:cstheme="minorHAnsi"/>
          <w:i/>
          <w:iCs/>
        </w:rPr>
        <w:t>n</w:t>
      </w:r>
      <w:r w:rsidRPr="00420873">
        <w:rPr>
          <w:rFonts w:cstheme="minorHAnsi"/>
          <w:i/>
          <w:iCs/>
          <w:spacing w:val="13"/>
        </w:rPr>
        <w:t xml:space="preserve"> </w:t>
      </w:r>
      <w:r w:rsidRPr="00420873">
        <w:rPr>
          <w:rFonts w:eastAsia="Arial" w:cstheme="minorHAnsi"/>
          <w:i/>
          <w:iCs/>
          <w:spacing w:val="7"/>
        </w:rPr>
        <w:t>simulation</w:t>
      </w:r>
      <w:r w:rsidRPr="00420873">
        <w:rPr>
          <w:rFonts w:eastAsia="Arial" w:cstheme="minorHAnsi"/>
          <w:i/>
          <w:iCs/>
        </w:rPr>
        <w:t>,</w:t>
      </w:r>
      <w:r w:rsidRPr="00420873">
        <w:rPr>
          <w:rFonts w:cstheme="minorHAnsi"/>
          <w:i/>
          <w:iCs/>
          <w:spacing w:val="10"/>
        </w:rPr>
        <w:t xml:space="preserve"> </w:t>
      </w:r>
      <w:r w:rsidRPr="00420873">
        <w:rPr>
          <w:rFonts w:eastAsia="Arial" w:cstheme="minorHAnsi"/>
          <w:i/>
          <w:iCs/>
          <w:spacing w:val="7"/>
        </w:rPr>
        <w:t>combine</w:t>
      </w:r>
      <w:r w:rsidRPr="00420873">
        <w:rPr>
          <w:rFonts w:eastAsia="Arial" w:cstheme="minorHAnsi"/>
          <w:i/>
          <w:iCs/>
        </w:rPr>
        <w:t>d</w:t>
      </w:r>
      <w:r w:rsidRPr="00420873">
        <w:rPr>
          <w:rFonts w:cstheme="minorHAnsi"/>
          <w:i/>
          <w:iCs/>
          <w:spacing w:val="11"/>
        </w:rPr>
        <w:t xml:space="preserve"> </w:t>
      </w:r>
      <w:r w:rsidRPr="00420873">
        <w:rPr>
          <w:rFonts w:eastAsia="Arial" w:cstheme="minorHAnsi"/>
          <w:i/>
          <w:iCs/>
          <w:spacing w:val="7"/>
        </w:rPr>
        <w:t>wit</w:t>
      </w:r>
      <w:r w:rsidRPr="00420873">
        <w:rPr>
          <w:rFonts w:eastAsia="Arial" w:cstheme="minorHAnsi"/>
          <w:i/>
          <w:iCs/>
        </w:rPr>
        <w:t>h</w:t>
      </w:r>
      <w:r w:rsidRPr="00420873">
        <w:rPr>
          <w:rFonts w:cstheme="minorHAnsi"/>
          <w:i/>
          <w:iCs/>
          <w:spacing w:val="16"/>
        </w:rPr>
        <w:t xml:space="preserve"> </w:t>
      </w:r>
      <w:r w:rsidRPr="00420873">
        <w:rPr>
          <w:rFonts w:eastAsia="Arial" w:cstheme="minorHAnsi"/>
          <w:i/>
          <w:iCs/>
        </w:rPr>
        <w:t>a</w:t>
      </w:r>
      <w:r w:rsidRPr="00420873">
        <w:rPr>
          <w:rFonts w:cstheme="minorHAnsi"/>
          <w:i/>
          <w:iCs/>
          <w:spacing w:val="18"/>
        </w:rPr>
        <w:t xml:space="preserve"> </w:t>
      </w:r>
      <w:r w:rsidRPr="00420873">
        <w:rPr>
          <w:rFonts w:eastAsia="Arial" w:cstheme="minorHAnsi"/>
          <w:i/>
          <w:iCs/>
          <w:spacing w:val="7"/>
        </w:rPr>
        <w:t>credibl</w:t>
      </w:r>
      <w:r w:rsidRPr="00420873">
        <w:rPr>
          <w:rFonts w:eastAsia="Arial" w:cstheme="minorHAnsi"/>
          <w:i/>
          <w:iCs/>
        </w:rPr>
        <w:t>e</w:t>
      </w:r>
      <w:r w:rsidRPr="00420873">
        <w:rPr>
          <w:rFonts w:cstheme="minorHAnsi"/>
          <w:i/>
          <w:iCs/>
          <w:spacing w:val="13"/>
        </w:rPr>
        <w:t xml:space="preserve"> </w:t>
      </w:r>
      <w:r w:rsidRPr="00420873">
        <w:rPr>
          <w:rFonts w:eastAsia="Arial" w:cstheme="minorHAnsi"/>
          <w:i/>
          <w:iCs/>
          <w:spacing w:val="7"/>
        </w:rPr>
        <w:t>rat</w:t>
      </w:r>
      <w:r w:rsidRPr="00420873">
        <w:rPr>
          <w:rFonts w:eastAsia="Arial" w:cstheme="minorHAnsi"/>
          <w:i/>
          <w:iCs/>
        </w:rPr>
        <w:t>e</w:t>
      </w:r>
      <w:r w:rsidRPr="00420873">
        <w:rPr>
          <w:rFonts w:cstheme="minorHAnsi"/>
          <w:i/>
          <w:iCs/>
          <w:spacing w:val="16"/>
        </w:rPr>
        <w:t xml:space="preserve"> </w:t>
      </w:r>
      <w:r w:rsidRPr="00420873">
        <w:rPr>
          <w:rFonts w:eastAsia="Arial" w:cstheme="minorHAnsi"/>
          <w:i/>
          <w:iCs/>
          <w:spacing w:val="7"/>
        </w:rPr>
        <w:t>forec</w:t>
      </w:r>
      <w:r w:rsidRPr="00420873">
        <w:rPr>
          <w:rFonts w:eastAsia="Arial" w:cstheme="minorHAnsi"/>
          <w:i/>
          <w:iCs/>
          <w:spacing w:val="8"/>
        </w:rPr>
        <w:t>as</w:t>
      </w:r>
      <w:r w:rsidRPr="00420873">
        <w:rPr>
          <w:rFonts w:eastAsia="Arial" w:cstheme="minorHAnsi"/>
          <w:i/>
          <w:iCs/>
        </w:rPr>
        <w:t>t</w:t>
      </w:r>
      <w:r w:rsidRPr="00420873">
        <w:rPr>
          <w:rFonts w:cstheme="minorHAnsi"/>
          <w:i/>
          <w:iCs/>
          <w:spacing w:val="15"/>
        </w:rPr>
        <w:t xml:space="preserve"> </w:t>
      </w:r>
      <w:r w:rsidRPr="00420873">
        <w:rPr>
          <w:rFonts w:eastAsia="Arial" w:cstheme="minorHAnsi"/>
          <w:i/>
          <w:iCs/>
          <w:spacing w:val="8"/>
        </w:rPr>
        <w:t>an</w:t>
      </w:r>
      <w:r w:rsidRPr="00420873">
        <w:rPr>
          <w:rFonts w:eastAsia="Arial" w:cstheme="minorHAnsi"/>
          <w:i/>
          <w:iCs/>
        </w:rPr>
        <w:t>d</w:t>
      </w:r>
      <w:r w:rsidRPr="00420873">
        <w:rPr>
          <w:rFonts w:cstheme="minorHAnsi"/>
          <w:i/>
          <w:iCs/>
          <w:spacing w:val="18"/>
        </w:rPr>
        <w:t xml:space="preserve"> </w:t>
      </w:r>
      <w:r w:rsidRPr="00420873">
        <w:rPr>
          <w:rFonts w:eastAsia="Arial" w:cstheme="minorHAnsi"/>
          <w:i/>
          <w:iCs/>
          <w:spacing w:val="8"/>
        </w:rPr>
        <w:t>operatin</w:t>
      </w:r>
      <w:r w:rsidRPr="00420873">
        <w:rPr>
          <w:rFonts w:eastAsia="Arial" w:cstheme="minorHAnsi"/>
          <w:i/>
          <w:iCs/>
        </w:rPr>
        <w:t>g</w:t>
      </w:r>
      <w:r w:rsidRPr="00420873">
        <w:rPr>
          <w:rFonts w:cstheme="minorHAnsi"/>
          <w:i/>
          <w:iCs/>
          <w:spacing w:val="13"/>
        </w:rPr>
        <w:t xml:space="preserve"> </w:t>
      </w:r>
      <w:r w:rsidRPr="00420873">
        <w:rPr>
          <w:rFonts w:eastAsia="Arial" w:cstheme="minorHAnsi"/>
          <w:i/>
          <w:iCs/>
          <w:spacing w:val="8"/>
        </w:rPr>
        <w:t>overhea</w:t>
      </w:r>
      <w:r w:rsidRPr="00420873">
        <w:rPr>
          <w:rFonts w:eastAsia="Arial" w:cstheme="minorHAnsi"/>
          <w:i/>
          <w:iCs/>
        </w:rPr>
        <w:t>d</w:t>
      </w:r>
      <w:r w:rsidRPr="00420873">
        <w:rPr>
          <w:rFonts w:cstheme="minorHAnsi"/>
          <w:i/>
          <w:iCs/>
          <w:spacing w:val="13"/>
        </w:rPr>
        <w:t xml:space="preserve"> </w:t>
      </w:r>
      <w:r w:rsidRPr="00420873">
        <w:rPr>
          <w:rFonts w:eastAsia="Arial" w:cstheme="minorHAnsi"/>
          <w:i/>
          <w:iCs/>
          <w:spacing w:val="8"/>
        </w:rPr>
        <w:t>projections</w:t>
      </w:r>
      <w:r w:rsidRPr="00420873">
        <w:rPr>
          <w:rFonts w:eastAsia="Arial" w:cstheme="minorHAnsi"/>
          <w:i/>
          <w:iCs/>
        </w:rPr>
        <w:t>,</w:t>
      </w:r>
      <w:r w:rsidRPr="00420873">
        <w:rPr>
          <w:rFonts w:cstheme="minorHAnsi"/>
          <w:i/>
          <w:iCs/>
        </w:rPr>
        <w:t xml:space="preserve"> </w:t>
      </w:r>
      <w:r w:rsidR="00420873" w:rsidRPr="00420873">
        <w:rPr>
          <w:rFonts w:eastAsia="Arial" w:cstheme="minorHAnsi"/>
          <w:i/>
          <w:iCs/>
        </w:rPr>
        <w:t>RiskGPS</w:t>
      </w:r>
      <w:r w:rsidRPr="00420873">
        <w:rPr>
          <w:rFonts w:cstheme="minorHAnsi"/>
          <w:i/>
          <w:iCs/>
          <w:spacing w:val="-2"/>
        </w:rPr>
        <w:t xml:space="preserve"> </w:t>
      </w:r>
      <w:r w:rsidRPr="00420873">
        <w:rPr>
          <w:rFonts w:eastAsia="Arial" w:cstheme="minorHAnsi"/>
          <w:i/>
          <w:iCs/>
        </w:rPr>
        <w:t>presents</w:t>
      </w:r>
      <w:r w:rsidRPr="00420873">
        <w:rPr>
          <w:rFonts w:cstheme="minorHAnsi"/>
          <w:i/>
          <w:iCs/>
          <w:spacing w:val="-2"/>
        </w:rPr>
        <w:t xml:space="preserve"> </w:t>
      </w:r>
      <w:r w:rsidRPr="00420873">
        <w:rPr>
          <w:rFonts w:eastAsia="Arial" w:cstheme="minorHAnsi"/>
          <w:i/>
          <w:iCs/>
        </w:rPr>
        <w:t>a</w:t>
      </w:r>
      <w:r w:rsidRPr="00420873">
        <w:rPr>
          <w:rFonts w:cstheme="minorHAnsi"/>
          <w:i/>
          <w:iCs/>
          <w:spacing w:val="4"/>
        </w:rPr>
        <w:t xml:space="preserve"> </w:t>
      </w:r>
      <w:r w:rsidRPr="00420873">
        <w:rPr>
          <w:rFonts w:eastAsia="Arial" w:cstheme="minorHAnsi"/>
          <w:i/>
          <w:iCs/>
        </w:rPr>
        <w:t>performance</w:t>
      </w:r>
      <w:r w:rsidRPr="00420873">
        <w:rPr>
          <w:rFonts w:cstheme="minorHAnsi"/>
          <w:i/>
          <w:iCs/>
          <w:spacing w:val="-5"/>
        </w:rPr>
        <w:t xml:space="preserve"> </w:t>
      </w:r>
      <w:r w:rsidRPr="00420873">
        <w:rPr>
          <w:rFonts w:eastAsia="Arial" w:cstheme="minorHAnsi"/>
          <w:i/>
          <w:iCs/>
        </w:rPr>
        <w:t>forecast</w:t>
      </w:r>
      <w:r w:rsidRPr="00420873">
        <w:rPr>
          <w:rFonts w:cstheme="minorHAnsi"/>
          <w:i/>
          <w:iCs/>
          <w:spacing w:val="-1"/>
        </w:rPr>
        <w:t xml:space="preserve"> </w:t>
      </w:r>
      <w:r w:rsidRPr="00420873">
        <w:rPr>
          <w:rFonts w:eastAsia="Arial" w:cstheme="minorHAnsi"/>
          <w:i/>
          <w:iCs/>
        </w:rPr>
        <w:t>for</w:t>
      </w:r>
      <w:r w:rsidRPr="00420873">
        <w:rPr>
          <w:rFonts w:cstheme="minorHAnsi"/>
          <w:i/>
          <w:iCs/>
          <w:spacing w:val="3"/>
        </w:rPr>
        <w:t xml:space="preserve"> </w:t>
      </w:r>
      <w:r w:rsidRPr="00420873">
        <w:rPr>
          <w:rFonts w:eastAsia="Arial" w:cstheme="minorHAnsi"/>
          <w:i/>
          <w:iCs/>
        </w:rPr>
        <w:t>the</w:t>
      </w:r>
      <w:r w:rsidRPr="00420873">
        <w:rPr>
          <w:rFonts w:cstheme="minorHAnsi"/>
          <w:i/>
          <w:iCs/>
          <w:spacing w:val="2"/>
        </w:rPr>
        <w:t xml:space="preserve"> </w:t>
      </w:r>
      <w:r w:rsidRPr="00420873">
        <w:rPr>
          <w:rFonts w:eastAsia="Arial" w:cstheme="minorHAnsi"/>
          <w:i/>
          <w:iCs/>
        </w:rPr>
        <w:t>next</w:t>
      </w:r>
      <w:r w:rsidRPr="00420873">
        <w:rPr>
          <w:rFonts w:cstheme="minorHAnsi"/>
          <w:i/>
          <w:iCs/>
          <w:spacing w:val="2"/>
        </w:rPr>
        <w:t xml:space="preserve"> </w:t>
      </w:r>
      <w:r w:rsidRPr="00420873">
        <w:rPr>
          <w:rFonts w:eastAsia="Arial" w:cstheme="minorHAnsi"/>
          <w:i/>
          <w:iCs/>
        </w:rPr>
        <w:t>four</w:t>
      </w:r>
      <w:r w:rsidRPr="00420873">
        <w:rPr>
          <w:rFonts w:cstheme="minorHAnsi"/>
          <w:i/>
          <w:iCs/>
          <w:spacing w:val="2"/>
        </w:rPr>
        <w:t xml:space="preserve"> </w:t>
      </w:r>
      <w:r w:rsidRPr="00420873">
        <w:rPr>
          <w:rFonts w:eastAsia="Arial" w:cstheme="minorHAnsi"/>
          <w:i/>
          <w:iCs/>
        </w:rPr>
        <w:t>quarters.</w:t>
      </w:r>
    </w:p>
    <w:p w14:paraId="76BBBFDA" w14:textId="77777777" w:rsidR="00A13AB6" w:rsidRPr="00A13AB6" w:rsidRDefault="00A13AB6" w:rsidP="00A13AB6">
      <w:pPr>
        <w:spacing w:after="0"/>
        <w:ind w:right="810"/>
        <w:rPr>
          <w:rFonts w:eastAsia="Arial" w:cstheme="minorHAnsi"/>
        </w:rPr>
      </w:pPr>
    </w:p>
    <w:p w14:paraId="1BBC1538" w14:textId="77777777" w:rsidR="00A13AB6" w:rsidRPr="00A13AB6" w:rsidRDefault="00A13AB6" w:rsidP="00A13AB6">
      <w:pPr>
        <w:spacing w:after="0"/>
        <w:ind w:right="810"/>
        <w:rPr>
          <w:rFonts w:cstheme="minorHAnsi"/>
          <w:b/>
          <w:bCs/>
        </w:rPr>
      </w:pPr>
      <w:r w:rsidRPr="00A13AB6">
        <w:rPr>
          <w:rFonts w:cstheme="minorHAnsi"/>
          <w:b/>
          <w:bCs/>
        </w:rPr>
        <w:t>Margin Risk Tolerance</w:t>
      </w:r>
    </w:p>
    <w:p w14:paraId="1986C51C" w14:textId="52880503" w:rsidR="00A13AB6" w:rsidRPr="00A13AB6" w:rsidRDefault="00A13AB6" w:rsidP="00A13AB6">
      <w:pPr>
        <w:spacing w:after="0"/>
        <w:ind w:right="810"/>
        <w:rPr>
          <w:rFonts w:eastAsia="Arial" w:cstheme="minorHAnsi"/>
        </w:rPr>
      </w:pPr>
      <w:r w:rsidRPr="00A13AB6">
        <w:rPr>
          <w:rFonts w:eastAsia="Arial" w:cstheme="minorHAnsi"/>
          <w:spacing w:val="-19"/>
        </w:rPr>
        <w:t>T</w:t>
      </w:r>
      <w:r w:rsidRPr="00A13AB6">
        <w:rPr>
          <w:rFonts w:eastAsia="Arial" w:cstheme="minorHAnsi"/>
        </w:rPr>
        <w:t>o</w:t>
      </w:r>
      <w:r w:rsidRPr="00A13AB6">
        <w:rPr>
          <w:rFonts w:cstheme="minorHAnsi"/>
          <w:spacing w:val="3"/>
        </w:rPr>
        <w:t xml:space="preserve"> </w:t>
      </w:r>
      <w:r w:rsidRPr="00A13AB6">
        <w:rPr>
          <w:rFonts w:eastAsia="Arial" w:cstheme="minorHAnsi"/>
        </w:rPr>
        <w:t>provide</w:t>
      </w:r>
      <w:r w:rsidRPr="00A13AB6">
        <w:rPr>
          <w:rFonts w:cstheme="minorHAnsi"/>
          <w:spacing w:val="-1"/>
        </w:rPr>
        <w:t xml:space="preserve"> </w:t>
      </w:r>
      <w:r w:rsidRPr="00A13AB6">
        <w:rPr>
          <w:rFonts w:eastAsia="Arial" w:cstheme="minorHAnsi"/>
        </w:rPr>
        <w:t>meaning</w:t>
      </w:r>
      <w:r w:rsidRPr="00A13AB6">
        <w:rPr>
          <w:rFonts w:cstheme="minorHAnsi"/>
          <w:spacing w:val="-2"/>
        </w:rPr>
        <w:t xml:space="preserve"> </w:t>
      </w:r>
      <w:r w:rsidRPr="00A13AB6">
        <w:rPr>
          <w:rFonts w:eastAsia="Arial" w:cstheme="minorHAnsi"/>
        </w:rPr>
        <w:t>to</w:t>
      </w:r>
      <w:r w:rsidRPr="00A13AB6">
        <w:rPr>
          <w:rFonts w:cstheme="minorHAnsi"/>
          <w:spacing w:val="3"/>
        </w:rPr>
        <w:t xml:space="preserve"> </w:t>
      </w:r>
      <w:r w:rsidRPr="00A13AB6">
        <w:rPr>
          <w:rFonts w:eastAsia="Arial" w:cstheme="minorHAnsi"/>
        </w:rPr>
        <w:t>rate</w:t>
      </w:r>
      <w:r w:rsidRPr="00A13AB6">
        <w:rPr>
          <w:rFonts w:cstheme="minorHAnsi"/>
          <w:spacing w:val="2"/>
        </w:rPr>
        <w:t xml:space="preserve"> </w:t>
      </w:r>
      <w:r w:rsidRPr="00A13AB6">
        <w:rPr>
          <w:rFonts w:eastAsia="Arial" w:cstheme="minorHAnsi"/>
        </w:rPr>
        <w:t>risk</w:t>
      </w:r>
      <w:r w:rsidRPr="00A13AB6">
        <w:rPr>
          <w:rFonts w:cstheme="minorHAnsi"/>
          <w:spacing w:val="2"/>
        </w:rPr>
        <w:t xml:space="preserve"> </w:t>
      </w:r>
      <w:r w:rsidRPr="00A13AB6">
        <w:rPr>
          <w:rFonts w:eastAsia="Arial" w:cstheme="minorHAnsi"/>
        </w:rPr>
        <w:t>measurements</w:t>
      </w:r>
      <w:r w:rsidRPr="00A13AB6">
        <w:rPr>
          <w:rFonts w:cstheme="minorHAnsi"/>
          <w:spacing w:val="-7"/>
        </w:rPr>
        <w:t xml:space="preserve"> </w:t>
      </w:r>
      <w:r w:rsidRPr="00A13AB6">
        <w:rPr>
          <w:rFonts w:eastAsia="Arial" w:cstheme="minorHAnsi"/>
        </w:rPr>
        <w:t>we</w:t>
      </w:r>
      <w:r w:rsidRPr="00A13AB6">
        <w:rPr>
          <w:rFonts w:cstheme="minorHAnsi"/>
          <w:spacing w:val="3"/>
        </w:rPr>
        <w:t xml:space="preserve"> </w:t>
      </w:r>
      <w:r w:rsidRPr="00A13AB6">
        <w:rPr>
          <w:rFonts w:eastAsia="Arial" w:cstheme="minorHAnsi"/>
        </w:rPr>
        <w:t>must</w:t>
      </w:r>
      <w:r w:rsidRPr="00A13AB6">
        <w:rPr>
          <w:rFonts w:cstheme="minorHAnsi"/>
          <w:spacing w:val="1"/>
        </w:rPr>
        <w:t xml:space="preserve"> </w:t>
      </w:r>
      <w:r w:rsidRPr="00A13AB6">
        <w:rPr>
          <w:rFonts w:eastAsia="Arial" w:cstheme="minorHAnsi"/>
        </w:rPr>
        <w:t>set</w:t>
      </w:r>
      <w:r w:rsidRPr="00A13AB6">
        <w:rPr>
          <w:rFonts w:cstheme="minorHAnsi"/>
          <w:spacing w:val="3"/>
        </w:rPr>
        <w:t xml:space="preserve"> </w:t>
      </w:r>
      <w:r w:rsidRPr="00A13AB6">
        <w:rPr>
          <w:rFonts w:eastAsia="Arial" w:cstheme="minorHAnsi"/>
        </w:rPr>
        <w:t>benchmarks</w:t>
      </w:r>
      <w:r w:rsidRPr="00A13AB6">
        <w:rPr>
          <w:rFonts w:cstheme="minorHAnsi"/>
          <w:spacing w:val="-5"/>
        </w:rPr>
        <w:t xml:space="preserve"> </w:t>
      </w:r>
      <w:r w:rsidRPr="00A13AB6">
        <w:rPr>
          <w:rFonts w:eastAsia="Arial" w:cstheme="minorHAnsi"/>
        </w:rPr>
        <w:t>against</w:t>
      </w:r>
      <w:r w:rsidRPr="00A13AB6">
        <w:rPr>
          <w:rFonts w:cstheme="minorHAnsi"/>
          <w:spacing w:val="-1"/>
        </w:rPr>
        <w:t xml:space="preserve"> </w:t>
      </w:r>
      <w:r w:rsidRPr="00A13AB6">
        <w:rPr>
          <w:rFonts w:eastAsia="Arial" w:cstheme="minorHAnsi"/>
        </w:rPr>
        <w:t>which</w:t>
      </w:r>
      <w:r w:rsidRPr="00A13AB6">
        <w:rPr>
          <w:rFonts w:cstheme="minorHAnsi"/>
        </w:rPr>
        <w:t xml:space="preserve"> </w:t>
      </w:r>
      <w:r w:rsidRPr="00A13AB6">
        <w:rPr>
          <w:rFonts w:eastAsia="Arial" w:cstheme="minorHAnsi"/>
        </w:rPr>
        <w:t>the</w:t>
      </w:r>
      <w:r w:rsidRPr="00A13AB6">
        <w:rPr>
          <w:rFonts w:cstheme="minorHAnsi"/>
        </w:rPr>
        <w:t xml:space="preserve"> </w:t>
      </w:r>
      <w:r w:rsidRPr="00A13AB6">
        <w:rPr>
          <w:rFonts w:eastAsia="Arial" w:cstheme="minorHAnsi"/>
        </w:rPr>
        <w:t>sensitivity</w:t>
      </w:r>
      <w:r w:rsidRPr="00A13AB6">
        <w:rPr>
          <w:rFonts w:cstheme="minorHAnsi"/>
          <w:spacing w:val="-3"/>
        </w:rPr>
        <w:t xml:space="preserve"> </w:t>
      </w:r>
      <w:r w:rsidRPr="00A13AB6">
        <w:rPr>
          <w:rFonts w:eastAsia="Arial" w:cstheme="minorHAnsi"/>
        </w:rPr>
        <w:t>of</w:t>
      </w:r>
      <w:r w:rsidRPr="00A13AB6">
        <w:rPr>
          <w:rFonts w:cstheme="minorHAnsi"/>
          <w:spacing w:val="3"/>
        </w:rPr>
        <w:t xml:space="preserve"> </w:t>
      </w:r>
      <w:r w:rsidRPr="00A13AB6">
        <w:rPr>
          <w:rFonts w:eastAsia="Arial" w:cstheme="minorHAnsi"/>
        </w:rPr>
        <w:t>risk</w:t>
      </w:r>
      <w:r w:rsidRPr="00A13AB6">
        <w:rPr>
          <w:rFonts w:cstheme="minorHAnsi"/>
          <w:spacing w:val="2"/>
        </w:rPr>
        <w:t xml:space="preserve"> </w:t>
      </w:r>
      <w:r w:rsidRPr="00A13AB6">
        <w:rPr>
          <w:rFonts w:eastAsia="Arial" w:cstheme="minorHAnsi"/>
        </w:rPr>
        <w:t>can</w:t>
      </w:r>
      <w:r w:rsidRPr="00A13AB6">
        <w:rPr>
          <w:rFonts w:cstheme="minorHAnsi"/>
          <w:spacing w:val="2"/>
        </w:rPr>
        <w:t xml:space="preserve"> </w:t>
      </w:r>
      <w:r w:rsidRPr="00A13AB6">
        <w:rPr>
          <w:rFonts w:eastAsia="Arial" w:cstheme="minorHAnsi"/>
        </w:rPr>
        <w:t>be</w:t>
      </w:r>
      <w:r w:rsidRPr="00A13AB6">
        <w:rPr>
          <w:rFonts w:cstheme="minorHAnsi"/>
          <w:spacing w:val="3"/>
        </w:rPr>
        <w:t xml:space="preserve"> </w:t>
      </w:r>
      <w:r w:rsidRPr="00A13AB6">
        <w:rPr>
          <w:rFonts w:eastAsia="Arial" w:cstheme="minorHAnsi"/>
        </w:rPr>
        <w:t>evaluated.</w:t>
      </w:r>
      <w:r w:rsidRPr="00A13AB6">
        <w:rPr>
          <w:rFonts w:cstheme="minorHAnsi"/>
          <w:spacing w:val="4"/>
        </w:rPr>
        <w:t xml:space="preserve"> </w:t>
      </w:r>
      <w:r w:rsidRPr="00A13AB6">
        <w:rPr>
          <w:rFonts w:eastAsia="Arial" w:cstheme="minorHAnsi"/>
        </w:rPr>
        <w:t>The</w:t>
      </w:r>
      <w:r w:rsidRPr="00A13AB6">
        <w:rPr>
          <w:rFonts w:cstheme="minorHAnsi"/>
        </w:rPr>
        <w:t xml:space="preserve"> </w:t>
      </w:r>
      <w:r w:rsidRPr="00A13AB6">
        <w:rPr>
          <w:rFonts w:eastAsia="Arial" w:cstheme="minorHAnsi"/>
        </w:rPr>
        <w:t>severity</w:t>
      </w:r>
      <w:r w:rsidRPr="00A13AB6">
        <w:rPr>
          <w:rFonts w:cstheme="minorHAnsi"/>
          <w:spacing w:val="-1"/>
        </w:rPr>
        <w:t xml:space="preserve"> </w:t>
      </w:r>
      <w:r w:rsidRPr="00A13AB6">
        <w:rPr>
          <w:rFonts w:eastAsia="Arial" w:cstheme="minorHAnsi"/>
        </w:rPr>
        <w:t>of</w:t>
      </w:r>
      <w:r w:rsidRPr="00A13AB6">
        <w:rPr>
          <w:rFonts w:cstheme="minorHAnsi"/>
          <w:spacing w:val="3"/>
        </w:rPr>
        <w:t xml:space="preserve"> </w:t>
      </w:r>
      <w:r w:rsidRPr="00A13AB6">
        <w:rPr>
          <w:rFonts w:eastAsia="Arial" w:cstheme="minorHAnsi"/>
        </w:rPr>
        <w:t>a</w:t>
      </w:r>
      <w:r w:rsidRPr="00A13AB6">
        <w:rPr>
          <w:rFonts w:cstheme="minorHAnsi"/>
          <w:spacing w:val="4"/>
        </w:rPr>
        <w:t xml:space="preserve"> </w:t>
      </w:r>
      <w:r w:rsidRPr="00A13AB6">
        <w:rPr>
          <w:rFonts w:eastAsia="Arial" w:cstheme="minorHAnsi"/>
        </w:rPr>
        <w:t>potential</w:t>
      </w:r>
      <w:r w:rsidRPr="00A13AB6">
        <w:rPr>
          <w:rFonts w:cstheme="minorHAnsi"/>
          <w:spacing w:val="-2"/>
        </w:rPr>
        <w:t xml:space="preserve"> </w:t>
      </w:r>
      <w:r w:rsidRPr="00A13AB6">
        <w:rPr>
          <w:rFonts w:eastAsia="Arial" w:cstheme="minorHAnsi"/>
        </w:rPr>
        <w:t>loss</w:t>
      </w:r>
      <w:r w:rsidRPr="00A13AB6">
        <w:rPr>
          <w:rFonts w:cstheme="minorHAnsi"/>
          <w:spacing w:val="2"/>
        </w:rPr>
        <w:t xml:space="preserve"> </w:t>
      </w:r>
      <w:r w:rsidRPr="00A13AB6">
        <w:rPr>
          <w:rFonts w:eastAsia="Arial" w:cstheme="minorHAnsi"/>
        </w:rPr>
        <w:t>depends</w:t>
      </w:r>
      <w:r w:rsidRPr="00A13AB6">
        <w:rPr>
          <w:rFonts w:cstheme="minorHAnsi"/>
          <w:spacing w:val="-2"/>
        </w:rPr>
        <w:t xml:space="preserve"> </w:t>
      </w:r>
      <w:r w:rsidRPr="00A13AB6">
        <w:rPr>
          <w:rFonts w:eastAsia="Arial" w:cstheme="minorHAnsi"/>
        </w:rPr>
        <w:t>upon</w:t>
      </w:r>
      <w:r w:rsidRPr="00A13AB6">
        <w:rPr>
          <w:rFonts w:cstheme="minorHAnsi"/>
          <w:spacing w:val="1"/>
        </w:rPr>
        <w:t xml:space="preserve"> </w:t>
      </w:r>
      <w:r w:rsidRPr="00A13AB6">
        <w:rPr>
          <w:rFonts w:eastAsia="Arial" w:cstheme="minorHAnsi"/>
        </w:rPr>
        <w:t>how</w:t>
      </w:r>
      <w:r w:rsidRPr="00A13AB6">
        <w:rPr>
          <w:rFonts w:cstheme="minorHAnsi"/>
          <w:spacing w:val="2"/>
        </w:rPr>
        <w:t xml:space="preserve"> </w:t>
      </w:r>
      <w:r w:rsidRPr="00A13AB6">
        <w:rPr>
          <w:rFonts w:eastAsia="Arial" w:cstheme="minorHAnsi"/>
        </w:rPr>
        <w:t>much</w:t>
      </w:r>
      <w:r w:rsidRPr="00A13AB6">
        <w:rPr>
          <w:rFonts w:cstheme="minorHAnsi"/>
          <w:spacing w:val="1"/>
        </w:rPr>
        <w:t xml:space="preserve"> </w:t>
      </w:r>
      <w:r w:rsidRPr="00A13AB6">
        <w:rPr>
          <w:rFonts w:eastAsia="Arial" w:cstheme="minorHAnsi"/>
        </w:rPr>
        <w:t>the</w:t>
      </w:r>
      <w:r w:rsidRPr="00A13AB6">
        <w:rPr>
          <w:rFonts w:cstheme="minorHAnsi"/>
          <w:spacing w:val="2"/>
        </w:rPr>
        <w:t xml:space="preserve"> </w:t>
      </w:r>
      <w:r w:rsidRPr="00A13AB6">
        <w:rPr>
          <w:rFonts w:eastAsia="Arial" w:cstheme="minorHAnsi"/>
        </w:rPr>
        <w:t>bank</w:t>
      </w:r>
      <w:r w:rsidRPr="00A13AB6">
        <w:rPr>
          <w:rFonts w:cstheme="minorHAnsi"/>
          <w:spacing w:val="1"/>
        </w:rPr>
        <w:t xml:space="preserve"> </w:t>
      </w:r>
      <w:r w:rsidRPr="00A13AB6">
        <w:rPr>
          <w:rFonts w:eastAsia="Arial" w:cstheme="minorHAnsi"/>
        </w:rPr>
        <w:t>can</w:t>
      </w:r>
      <w:r w:rsidRPr="00A13AB6">
        <w:rPr>
          <w:rFonts w:cstheme="minorHAnsi"/>
          <w:spacing w:val="2"/>
        </w:rPr>
        <w:t xml:space="preserve"> </w:t>
      </w:r>
      <w:r w:rsidRPr="00A13AB6">
        <w:rPr>
          <w:rFonts w:eastAsia="Arial" w:cstheme="minorHAnsi"/>
        </w:rPr>
        <w:t>a</w:t>
      </w:r>
      <w:r w:rsidRPr="00A13AB6">
        <w:rPr>
          <w:rFonts w:eastAsia="Arial" w:cstheme="minorHAnsi"/>
          <w:spacing w:val="-3"/>
        </w:rPr>
        <w:t>f</w:t>
      </w:r>
      <w:r w:rsidRPr="00A13AB6">
        <w:rPr>
          <w:rFonts w:eastAsia="Arial" w:cstheme="minorHAnsi"/>
        </w:rPr>
        <w:t>ford</w:t>
      </w:r>
      <w:r w:rsidRPr="00A13AB6">
        <w:rPr>
          <w:rFonts w:cstheme="minorHAnsi"/>
        </w:rPr>
        <w:t xml:space="preserve"> </w:t>
      </w:r>
      <w:r w:rsidRPr="00A13AB6">
        <w:rPr>
          <w:rFonts w:eastAsia="Arial" w:cstheme="minorHAnsi"/>
        </w:rPr>
        <w:t>to</w:t>
      </w:r>
      <w:r w:rsidRPr="00A13AB6">
        <w:rPr>
          <w:rFonts w:cstheme="minorHAnsi"/>
          <w:spacing w:val="3"/>
        </w:rPr>
        <w:t xml:space="preserve"> </w:t>
      </w:r>
      <w:r w:rsidRPr="00A13AB6">
        <w:rPr>
          <w:rFonts w:eastAsia="Arial" w:cstheme="minorHAnsi"/>
        </w:rPr>
        <w:t>lose</w:t>
      </w:r>
      <w:r w:rsidRPr="00A13AB6">
        <w:rPr>
          <w:rFonts w:cstheme="minorHAnsi"/>
          <w:spacing w:val="2"/>
        </w:rPr>
        <w:t xml:space="preserve"> </w:t>
      </w:r>
      <w:r w:rsidRPr="00A13AB6">
        <w:rPr>
          <w:rFonts w:eastAsia="Arial" w:cstheme="minorHAnsi"/>
        </w:rPr>
        <w:t>and</w:t>
      </w:r>
      <w:r w:rsidRPr="00A13AB6">
        <w:rPr>
          <w:rFonts w:cstheme="minorHAnsi"/>
          <w:spacing w:val="2"/>
        </w:rPr>
        <w:t xml:space="preserve"> </w:t>
      </w:r>
      <w:r w:rsidRPr="00A13AB6">
        <w:rPr>
          <w:rFonts w:eastAsia="Arial" w:cstheme="minorHAnsi"/>
        </w:rPr>
        <w:t>not</w:t>
      </w:r>
      <w:r w:rsidRPr="00A13AB6">
        <w:rPr>
          <w:rFonts w:cstheme="minorHAnsi"/>
          <w:spacing w:val="2"/>
        </w:rPr>
        <w:t xml:space="preserve"> </w:t>
      </w:r>
      <w:r w:rsidRPr="00A13AB6">
        <w:rPr>
          <w:rFonts w:eastAsia="Arial" w:cstheme="minorHAnsi"/>
        </w:rPr>
        <w:t>impair</w:t>
      </w:r>
      <w:r w:rsidRPr="00A13AB6">
        <w:rPr>
          <w:rFonts w:cstheme="minorHAnsi"/>
        </w:rPr>
        <w:t xml:space="preserve"> </w:t>
      </w:r>
      <w:r w:rsidRPr="00A13AB6">
        <w:rPr>
          <w:rFonts w:eastAsia="Arial" w:cstheme="minorHAnsi"/>
        </w:rPr>
        <w:t>capital.</w:t>
      </w:r>
      <w:r w:rsidRPr="00A13AB6">
        <w:rPr>
          <w:rFonts w:cstheme="minorHAnsi"/>
          <w:spacing w:val="4"/>
        </w:rPr>
        <w:t xml:space="preserve"> </w:t>
      </w:r>
      <w:r w:rsidRPr="00420873">
        <w:rPr>
          <w:rFonts w:eastAsia="Arial" w:cstheme="minorHAnsi"/>
        </w:rPr>
        <w:t>The</w:t>
      </w:r>
      <w:r w:rsidRPr="00420873">
        <w:rPr>
          <w:rFonts w:cstheme="minorHAnsi"/>
          <w:spacing w:val="2"/>
        </w:rPr>
        <w:t xml:space="preserve"> </w:t>
      </w:r>
      <w:r w:rsidRPr="00420873">
        <w:rPr>
          <w:rFonts w:eastAsia="Arial" w:cstheme="minorHAnsi"/>
        </w:rPr>
        <w:t>ability</w:t>
      </w:r>
      <w:r w:rsidRPr="00420873">
        <w:rPr>
          <w:rFonts w:cstheme="minorHAnsi"/>
        </w:rPr>
        <w:t xml:space="preserve"> </w:t>
      </w:r>
      <w:r w:rsidRPr="00420873">
        <w:rPr>
          <w:rFonts w:eastAsia="Arial" w:cstheme="minorHAnsi"/>
        </w:rPr>
        <w:t>to</w:t>
      </w:r>
      <w:r w:rsidRPr="00420873">
        <w:rPr>
          <w:rFonts w:cstheme="minorHAnsi"/>
          <w:spacing w:val="3"/>
        </w:rPr>
        <w:t xml:space="preserve"> </w:t>
      </w:r>
      <w:r w:rsidRPr="00420873">
        <w:rPr>
          <w:rFonts w:eastAsia="Arial" w:cstheme="minorHAnsi"/>
        </w:rPr>
        <w:t>absorb</w:t>
      </w:r>
      <w:r w:rsidRPr="00420873">
        <w:rPr>
          <w:rFonts w:cstheme="minorHAnsi"/>
        </w:rPr>
        <w:t xml:space="preserve"> </w:t>
      </w:r>
      <w:r w:rsidRPr="00420873">
        <w:rPr>
          <w:rFonts w:eastAsia="Arial" w:cstheme="minorHAnsi"/>
        </w:rPr>
        <w:t>losses</w:t>
      </w:r>
      <w:r w:rsidRPr="00420873">
        <w:rPr>
          <w:rFonts w:cstheme="minorHAnsi"/>
        </w:rPr>
        <w:t xml:space="preserve"> </w:t>
      </w:r>
      <w:r w:rsidRPr="00420873">
        <w:rPr>
          <w:rFonts w:eastAsia="Arial" w:cstheme="minorHAnsi"/>
        </w:rPr>
        <w:t>and</w:t>
      </w:r>
      <w:r w:rsidRPr="00420873">
        <w:rPr>
          <w:rFonts w:cstheme="minorHAnsi"/>
          <w:spacing w:val="2"/>
        </w:rPr>
        <w:t xml:space="preserve"> </w:t>
      </w:r>
      <w:r w:rsidRPr="00420873">
        <w:rPr>
          <w:rFonts w:eastAsia="Arial" w:cstheme="minorHAnsi"/>
        </w:rPr>
        <w:t>still</w:t>
      </w:r>
      <w:r w:rsidRPr="00420873">
        <w:rPr>
          <w:rFonts w:cstheme="minorHAnsi"/>
          <w:spacing w:val="2"/>
        </w:rPr>
        <w:t xml:space="preserve"> </w:t>
      </w:r>
      <w:r w:rsidRPr="00420873">
        <w:rPr>
          <w:rFonts w:eastAsia="Arial" w:cstheme="minorHAnsi"/>
        </w:rPr>
        <w:t>maintain</w:t>
      </w:r>
      <w:r w:rsidRPr="00420873">
        <w:rPr>
          <w:rFonts w:cstheme="minorHAnsi"/>
          <w:spacing w:val="-2"/>
        </w:rPr>
        <w:t xml:space="preserve"> </w:t>
      </w:r>
      <w:r w:rsidRPr="00420873">
        <w:rPr>
          <w:rFonts w:eastAsia="Arial" w:cstheme="minorHAnsi"/>
        </w:rPr>
        <w:t>adequate</w:t>
      </w:r>
      <w:r w:rsidRPr="00420873">
        <w:rPr>
          <w:rFonts w:cstheme="minorHAnsi"/>
          <w:spacing w:val="-3"/>
        </w:rPr>
        <w:t xml:space="preserve"> </w:t>
      </w:r>
      <w:r w:rsidRPr="00420873">
        <w:rPr>
          <w:rFonts w:eastAsia="Arial" w:cstheme="minorHAnsi"/>
        </w:rPr>
        <w:t>capital</w:t>
      </w:r>
      <w:r w:rsidRPr="00420873">
        <w:rPr>
          <w:rFonts w:cstheme="minorHAnsi"/>
        </w:rPr>
        <w:t xml:space="preserve"> </w:t>
      </w:r>
      <w:r w:rsidRPr="00420873">
        <w:rPr>
          <w:rFonts w:eastAsia="Arial" w:cstheme="minorHAnsi"/>
        </w:rPr>
        <w:t>is</w:t>
      </w:r>
      <w:r w:rsidRPr="00420873">
        <w:rPr>
          <w:rFonts w:cstheme="minorHAnsi"/>
          <w:spacing w:val="4"/>
        </w:rPr>
        <w:t xml:space="preserve"> </w:t>
      </w:r>
      <w:r w:rsidRPr="00420873">
        <w:rPr>
          <w:rFonts w:eastAsia="Arial" w:cstheme="minorHAnsi"/>
        </w:rPr>
        <w:t>called</w:t>
      </w:r>
      <w:r w:rsidRPr="00420873">
        <w:rPr>
          <w:rFonts w:cstheme="minorHAnsi"/>
        </w:rPr>
        <w:t xml:space="preserve"> </w:t>
      </w:r>
      <w:r w:rsidRPr="00420873">
        <w:rPr>
          <w:rFonts w:eastAsia="Arial" w:cstheme="minorHAnsi"/>
        </w:rPr>
        <w:t>Risk</w:t>
      </w:r>
      <w:r w:rsidRPr="00420873">
        <w:rPr>
          <w:rFonts w:cstheme="minorHAnsi"/>
          <w:spacing w:val="-2"/>
        </w:rPr>
        <w:t xml:space="preserve"> </w:t>
      </w:r>
      <w:r w:rsidRPr="00420873">
        <w:rPr>
          <w:rFonts w:eastAsia="Arial" w:cstheme="minorHAnsi"/>
          <w:spacing w:val="-19"/>
          <w:w w:val="98"/>
        </w:rPr>
        <w:t>T</w:t>
      </w:r>
      <w:r w:rsidRPr="00420873">
        <w:rPr>
          <w:rFonts w:eastAsia="Arial" w:cstheme="minorHAnsi"/>
          <w:w w:val="98"/>
        </w:rPr>
        <w:t>olerance</w:t>
      </w:r>
      <w:r w:rsidRPr="00420873">
        <w:rPr>
          <w:rFonts w:eastAsia="Arial" w:cstheme="minorHAnsi"/>
        </w:rPr>
        <w:t>.</w:t>
      </w:r>
      <w:r w:rsidRPr="00A13AB6">
        <w:rPr>
          <w:rFonts w:eastAsia="Arial" w:cstheme="minorHAnsi"/>
        </w:rPr>
        <w:t xml:space="preserve"> Risk</w:t>
      </w:r>
      <w:r w:rsidRPr="00A13AB6">
        <w:rPr>
          <w:rFonts w:cstheme="minorHAnsi"/>
          <w:spacing w:val="1"/>
        </w:rPr>
        <w:t xml:space="preserve"> </w:t>
      </w:r>
      <w:r w:rsidRPr="00A13AB6">
        <w:rPr>
          <w:rFonts w:eastAsia="Arial" w:cstheme="minorHAnsi"/>
        </w:rPr>
        <w:t>can</w:t>
      </w:r>
      <w:r w:rsidRPr="00A13AB6">
        <w:rPr>
          <w:rFonts w:cstheme="minorHAnsi"/>
          <w:spacing w:val="2"/>
        </w:rPr>
        <w:t xml:space="preserve"> </w:t>
      </w:r>
      <w:r w:rsidRPr="00A13AB6">
        <w:rPr>
          <w:rFonts w:eastAsia="Arial" w:cstheme="minorHAnsi"/>
        </w:rPr>
        <w:t>be</w:t>
      </w:r>
      <w:r w:rsidRPr="00A13AB6">
        <w:rPr>
          <w:rFonts w:cstheme="minorHAnsi"/>
          <w:spacing w:val="3"/>
        </w:rPr>
        <w:t xml:space="preserve"> </w:t>
      </w:r>
      <w:r w:rsidRPr="00A13AB6">
        <w:rPr>
          <w:rFonts w:eastAsia="Arial" w:cstheme="minorHAnsi"/>
        </w:rPr>
        <w:t>classified</w:t>
      </w:r>
      <w:r w:rsidRPr="00A13AB6">
        <w:rPr>
          <w:rFonts w:cstheme="minorHAnsi"/>
          <w:spacing w:val="-2"/>
        </w:rPr>
        <w:t xml:space="preserve"> </w:t>
      </w:r>
      <w:r w:rsidRPr="00A13AB6">
        <w:rPr>
          <w:rFonts w:eastAsia="Arial" w:cstheme="minorHAnsi"/>
        </w:rPr>
        <w:t>as</w:t>
      </w:r>
      <w:r w:rsidRPr="00A13AB6">
        <w:rPr>
          <w:rFonts w:cstheme="minorHAnsi"/>
          <w:spacing w:val="3"/>
        </w:rPr>
        <w:t xml:space="preserve"> </w:t>
      </w:r>
      <w:r w:rsidRPr="00A13AB6">
        <w:rPr>
          <w:rFonts w:eastAsia="Arial" w:cstheme="minorHAnsi"/>
        </w:rPr>
        <w:t>either</w:t>
      </w:r>
      <w:r w:rsidRPr="00A13AB6">
        <w:rPr>
          <w:rFonts w:cstheme="minorHAnsi"/>
        </w:rPr>
        <w:t xml:space="preserve"> </w:t>
      </w:r>
      <w:r w:rsidRPr="00A13AB6">
        <w:rPr>
          <w:rFonts w:eastAsia="Arial" w:cstheme="minorHAnsi"/>
        </w:rPr>
        <w:t>shor</w:t>
      </w:r>
      <w:r w:rsidRPr="00A13AB6">
        <w:rPr>
          <w:rFonts w:eastAsia="Arial" w:cstheme="minorHAnsi"/>
          <w:spacing w:val="14"/>
        </w:rPr>
        <w:t>t</w:t>
      </w:r>
      <w:r w:rsidRPr="00A13AB6">
        <w:rPr>
          <w:rFonts w:eastAsia="Arial" w:cstheme="minorHAnsi"/>
        </w:rPr>
        <w:t>-term</w:t>
      </w:r>
      <w:r w:rsidRPr="00A13AB6">
        <w:rPr>
          <w:rFonts w:cstheme="minorHAnsi"/>
          <w:spacing w:val="-3"/>
        </w:rPr>
        <w:t xml:space="preserve"> </w:t>
      </w:r>
      <w:r w:rsidRPr="00A13AB6">
        <w:rPr>
          <w:rFonts w:eastAsia="Arial" w:cstheme="minorHAnsi"/>
        </w:rPr>
        <w:t>or</w:t>
      </w:r>
      <w:r w:rsidRPr="00A13AB6">
        <w:rPr>
          <w:rFonts w:cstheme="minorHAnsi"/>
          <w:spacing w:val="3"/>
        </w:rPr>
        <w:t xml:space="preserve"> </w:t>
      </w:r>
      <w:r w:rsidRPr="00A13AB6">
        <w:rPr>
          <w:rFonts w:eastAsia="Arial" w:cstheme="minorHAnsi"/>
        </w:rPr>
        <w:t>lon</w:t>
      </w:r>
      <w:r w:rsidRPr="00A13AB6">
        <w:rPr>
          <w:rFonts w:eastAsia="Arial" w:cstheme="minorHAnsi"/>
          <w:spacing w:val="4"/>
        </w:rPr>
        <w:t>g</w:t>
      </w:r>
      <w:r w:rsidRPr="00A13AB6">
        <w:rPr>
          <w:rFonts w:eastAsia="Arial" w:cstheme="minorHAnsi"/>
        </w:rPr>
        <w:t>-ter</w:t>
      </w:r>
      <w:r w:rsidRPr="00A13AB6">
        <w:rPr>
          <w:rFonts w:eastAsia="Arial" w:cstheme="minorHAnsi"/>
          <w:spacing w:val="1"/>
        </w:rPr>
        <w:t>m</w:t>
      </w:r>
      <w:r w:rsidRPr="00A13AB6">
        <w:rPr>
          <w:rFonts w:eastAsia="Arial" w:cstheme="minorHAnsi"/>
        </w:rPr>
        <w:t>.</w:t>
      </w:r>
      <w:r w:rsidRPr="00A13AB6">
        <w:rPr>
          <w:rFonts w:cstheme="minorHAnsi"/>
          <w:spacing w:val="-3"/>
        </w:rPr>
        <w:t xml:space="preserve"> </w:t>
      </w:r>
      <w:r w:rsidRPr="00420873">
        <w:rPr>
          <w:rFonts w:eastAsia="Arial" w:cstheme="minorHAnsi"/>
          <w:i/>
          <w:iCs/>
        </w:rPr>
        <w:t>Shor</w:t>
      </w:r>
      <w:r w:rsidRPr="00420873">
        <w:rPr>
          <w:rFonts w:eastAsia="Arial" w:cstheme="minorHAnsi"/>
          <w:i/>
          <w:iCs/>
          <w:spacing w:val="1"/>
        </w:rPr>
        <w:t>t</w:t>
      </w:r>
      <w:r w:rsidRPr="00420873">
        <w:rPr>
          <w:rFonts w:eastAsia="Arial" w:cstheme="minorHAnsi"/>
          <w:i/>
          <w:iCs/>
        </w:rPr>
        <w:t>-term</w:t>
      </w:r>
      <w:r w:rsidRPr="00420873">
        <w:rPr>
          <w:rFonts w:cstheme="minorHAnsi"/>
          <w:i/>
          <w:iCs/>
          <w:spacing w:val="-3"/>
        </w:rPr>
        <w:t xml:space="preserve"> </w:t>
      </w:r>
      <w:r w:rsidRPr="00420873">
        <w:rPr>
          <w:rFonts w:eastAsia="Arial" w:cstheme="minorHAnsi"/>
          <w:i/>
          <w:iCs/>
        </w:rPr>
        <w:t>risk</w:t>
      </w:r>
      <w:r w:rsidRPr="00420873">
        <w:rPr>
          <w:rFonts w:cstheme="minorHAnsi"/>
          <w:i/>
          <w:iCs/>
        </w:rPr>
        <w:t xml:space="preserve"> </w:t>
      </w:r>
      <w:r w:rsidRPr="00420873">
        <w:rPr>
          <w:rFonts w:eastAsia="Arial" w:cstheme="minorHAnsi"/>
          <w:i/>
          <w:iCs/>
        </w:rPr>
        <w:t>impacts</w:t>
      </w:r>
      <w:r w:rsidRPr="00420873">
        <w:rPr>
          <w:rFonts w:cstheme="minorHAnsi"/>
          <w:i/>
          <w:iCs/>
          <w:spacing w:val="-1"/>
        </w:rPr>
        <w:t xml:space="preserve"> </w:t>
      </w:r>
      <w:r w:rsidRPr="00420873">
        <w:rPr>
          <w:rFonts w:eastAsia="Arial" w:cstheme="minorHAnsi"/>
          <w:i/>
          <w:iCs/>
        </w:rPr>
        <w:t>margin</w:t>
      </w:r>
      <w:r w:rsidRPr="00420873">
        <w:rPr>
          <w:rFonts w:cstheme="minorHAnsi"/>
          <w:i/>
          <w:iCs/>
        </w:rPr>
        <w:t xml:space="preserve"> </w:t>
      </w:r>
      <w:r w:rsidRPr="00420873">
        <w:rPr>
          <w:rFonts w:eastAsia="Arial" w:cstheme="minorHAnsi"/>
          <w:i/>
          <w:iCs/>
        </w:rPr>
        <w:t>earnings</w:t>
      </w:r>
      <w:r w:rsidRPr="00420873">
        <w:rPr>
          <w:rFonts w:cstheme="minorHAnsi"/>
          <w:i/>
          <w:iCs/>
          <w:spacing w:val="-2"/>
        </w:rPr>
        <w:t xml:space="preserve"> </w:t>
      </w:r>
      <w:r w:rsidRPr="00420873">
        <w:rPr>
          <w:rFonts w:eastAsia="Arial" w:cstheme="minorHAnsi"/>
          <w:i/>
          <w:iCs/>
        </w:rPr>
        <w:t>in</w:t>
      </w:r>
      <w:r w:rsidRPr="00420873">
        <w:rPr>
          <w:rFonts w:cstheme="minorHAnsi"/>
          <w:i/>
          <w:iCs/>
          <w:spacing w:val="4"/>
        </w:rPr>
        <w:t xml:space="preserve"> </w:t>
      </w:r>
      <w:r w:rsidRPr="00420873">
        <w:rPr>
          <w:rFonts w:eastAsia="Arial" w:cstheme="minorHAnsi"/>
          <w:i/>
          <w:iCs/>
        </w:rPr>
        <w:t>the</w:t>
      </w:r>
      <w:r w:rsidRPr="00420873">
        <w:rPr>
          <w:rFonts w:cstheme="minorHAnsi"/>
          <w:i/>
          <w:iCs/>
          <w:spacing w:val="2"/>
        </w:rPr>
        <w:t xml:space="preserve"> </w:t>
      </w:r>
      <w:r w:rsidRPr="00420873">
        <w:rPr>
          <w:rFonts w:eastAsia="Arial" w:cstheme="minorHAnsi"/>
          <w:i/>
          <w:iCs/>
        </w:rPr>
        <w:t>near</w:t>
      </w:r>
      <w:r w:rsidRPr="00420873">
        <w:rPr>
          <w:rFonts w:cstheme="minorHAnsi"/>
          <w:i/>
          <w:iCs/>
          <w:spacing w:val="1"/>
        </w:rPr>
        <w:t xml:space="preserve"> </w:t>
      </w:r>
      <w:r w:rsidRPr="00420873">
        <w:rPr>
          <w:rFonts w:eastAsia="Arial" w:cstheme="minorHAnsi"/>
          <w:i/>
          <w:iCs/>
        </w:rPr>
        <w:t>ter</w:t>
      </w:r>
      <w:r w:rsidRPr="00420873">
        <w:rPr>
          <w:rFonts w:eastAsia="Arial" w:cstheme="minorHAnsi"/>
          <w:i/>
          <w:iCs/>
          <w:spacing w:val="14"/>
        </w:rPr>
        <w:t>m</w:t>
      </w:r>
      <w:r w:rsidRPr="00420873">
        <w:rPr>
          <w:rFonts w:eastAsia="Arial" w:cstheme="minorHAnsi"/>
          <w:i/>
          <w:iCs/>
        </w:rPr>
        <w:t>.</w:t>
      </w:r>
      <w:r w:rsidRPr="00420873">
        <w:rPr>
          <w:rFonts w:cstheme="minorHAnsi"/>
          <w:i/>
          <w:iCs/>
          <w:spacing w:val="1"/>
        </w:rPr>
        <w:t xml:space="preserve"> </w:t>
      </w:r>
      <w:r w:rsidRPr="00420873">
        <w:rPr>
          <w:rFonts w:eastAsia="Arial" w:cstheme="minorHAnsi"/>
          <w:i/>
          <w:iCs/>
        </w:rPr>
        <w:t>The</w:t>
      </w:r>
      <w:r w:rsidRPr="00420873">
        <w:rPr>
          <w:rFonts w:cstheme="minorHAnsi"/>
          <w:i/>
          <w:iCs/>
          <w:spacing w:val="2"/>
        </w:rPr>
        <w:t xml:space="preserve"> </w:t>
      </w:r>
      <w:r w:rsidRPr="00420873">
        <w:rPr>
          <w:rFonts w:eastAsia="Arial" w:cstheme="minorHAnsi"/>
          <w:i/>
          <w:iCs/>
        </w:rPr>
        <w:t>Economic</w:t>
      </w:r>
      <w:r w:rsidRPr="00420873">
        <w:rPr>
          <w:rFonts w:cstheme="minorHAnsi"/>
          <w:i/>
          <w:iCs/>
          <w:spacing w:val="-3"/>
        </w:rPr>
        <w:t xml:space="preserve"> </w:t>
      </w:r>
      <w:r w:rsidRPr="00420873">
        <w:rPr>
          <w:rFonts w:eastAsia="Arial" w:cstheme="minorHAnsi"/>
          <w:i/>
          <w:iCs/>
          <w:spacing w:val="-13"/>
        </w:rPr>
        <w:t>V</w:t>
      </w:r>
      <w:r w:rsidRPr="00420873">
        <w:rPr>
          <w:rFonts w:eastAsia="Arial" w:cstheme="minorHAnsi"/>
          <w:i/>
          <w:iCs/>
        </w:rPr>
        <w:t>alue</w:t>
      </w:r>
      <w:r w:rsidRPr="00420873">
        <w:rPr>
          <w:rFonts w:cstheme="minorHAnsi"/>
          <w:i/>
          <w:iCs/>
        </w:rPr>
        <w:t xml:space="preserve"> </w:t>
      </w:r>
      <w:r w:rsidRPr="00420873">
        <w:rPr>
          <w:rFonts w:eastAsia="Arial" w:cstheme="minorHAnsi"/>
          <w:i/>
          <w:iCs/>
        </w:rPr>
        <w:t>of</w:t>
      </w:r>
      <w:r w:rsidRPr="00420873">
        <w:rPr>
          <w:rFonts w:cstheme="minorHAnsi"/>
          <w:i/>
          <w:iCs/>
          <w:spacing w:val="3"/>
        </w:rPr>
        <w:t xml:space="preserve"> </w:t>
      </w:r>
      <w:r w:rsidRPr="00420873">
        <w:rPr>
          <w:rFonts w:eastAsia="Arial" w:cstheme="minorHAnsi"/>
          <w:i/>
          <w:iCs/>
        </w:rPr>
        <w:t>the</w:t>
      </w:r>
      <w:r w:rsidRPr="00420873">
        <w:rPr>
          <w:rFonts w:cstheme="minorHAnsi"/>
          <w:i/>
          <w:iCs/>
          <w:spacing w:val="2"/>
        </w:rPr>
        <w:t xml:space="preserve"> </w:t>
      </w:r>
      <w:r w:rsidRPr="00420873">
        <w:rPr>
          <w:rFonts w:eastAsia="Arial" w:cstheme="minorHAnsi"/>
          <w:i/>
          <w:iCs/>
        </w:rPr>
        <w:t>ban</w:t>
      </w:r>
      <w:r w:rsidRPr="00420873">
        <w:rPr>
          <w:rFonts w:eastAsia="Arial" w:cstheme="minorHAnsi"/>
          <w:i/>
          <w:iCs/>
          <w:spacing w:val="9"/>
        </w:rPr>
        <w:t>k</w:t>
      </w:r>
      <w:r w:rsidRPr="00420873">
        <w:rPr>
          <w:rFonts w:eastAsia="Arial" w:cstheme="minorHAnsi"/>
          <w:i/>
          <w:iCs/>
        </w:rPr>
        <w:t>'s</w:t>
      </w:r>
      <w:r w:rsidRPr="00420873">
        <w:rPr>
          <w:rFonts w:cstheme="minorHAnsi"/>
          <w:i/>
          <w:iCs/>
        </w:rPr>
        <w:t xml:space="preserve"> </w:t>
      </w:r>
      <w:r w:rsidRPr="00420873">
        <w:rPr>
          <w:rFonts w:eastAsia="Arial" w:cstheme="minorHAnsi"/>
          <w:i/>
          <w:iCs/>
        </w:rPr>
        <w:t>Equity</w:t>
      </w:r>
      <w:r w:rsidRPr="00420873">
        <w:rPr>
          <w:rFonts w:cstheme="minorHAnsi"/>
          <w:i/>
          <w:iCs/>
          <w:spacing w:val="2"/>
        </w:rPr>
        <w:t xml:space="preserve"> </w:t>
      </w:r>
      <w:r w:rsidRPr="00420873">
        <w:rPr>
          <w:rFonts w:eastAsia="Arial" w:cstheme="minorHAnsi"/>
          <w:i/>
          <w:iCs/>
        </w:rPr>
        <w:t>(EV</w:t>
      </w:r>
      <w:r w:rsidRPr="00420873">
        <w:rPr>
          <w:rFonts w:eastAsia="Arial" w:cstheme="minorHAnsi"/>
          <w:i/>
          <w:iCs/>
          <w:spacing w:val="-1"/>
        </w:rPr>
        <w:t>E</w:t>
      </w:r>
      <w:r w:rsidRPr="00420873">
        <w:rPr>
          <w:rFonts w:eastAsia="Arial" w:cstheme="minorHAnsi"/>
          <w:i/>
          <w:iCs/>
        </w:rPr>
        <w:t>)</w:t>
      </w:r>
      <w:r w:rsidRPr="00420873">
        <w:rPr>
          <w:rFonts w:cstheme="minorHAnsi"/>
          <w:i/>
          <w:iCs/>
        </w:rPr>
        <w:t xml:space="preserve"> </w:t>
      </w:r>
      <w:r w:rsidRPr="00420873">
        <w:rPr>
          <w:rFonts w:eastAsia="Arial" w:cstheme="minorHAnsi"/>
          <w:i/>
          <w:iCs/>
        </w:rPr>
        <w:t>reflects</w:t>
      </w:r>
      <w:r w:rsidRPr="00420873">
        <w:rPr>
          <w:rFonts w:cstheme="minorHAnsi"/>
          <w:i/>
          <w:iCs/>
          <w:spacing w:val="-1"/>
        </w:rPr>
        <w:t xml:space="preserve"> </w:t>
      </w:r>
      <w:r w:rsidRPr="00420873">
        <w:rPr>
          <w:rFonts w:eastAsia="Arial" w:cstheme="minorHAnsi"/>
          <w:i/>
          <w:iCs/>
        </w:rPr>
        <w:t>the</w:t>
      </w:r>
      <w:r w:rsidRPr="00420873">
        <w:rPr>
          <w:rFonts w:cstheme="minorHAnsi"/>
          <w:i/>
          <w:iCs/>
          <w:spacing w:val="2"/>
        </w:rPr>
        <w:t xml:space="preserve"> </w:t>
      </w:r>
      <w:r w:rsidRPr="00420873">
        <w:rPr>
          <w:rFonts w:eastAsia="Arial" w:cstheme="minorHAnsi"/>
          <w:i/>
          <w:iCs/>
        </w:rPr>
        <w:t>lon</w:t>
      </w:r>
      <w:r w:rsidRPr="00420873">
        <w:rPr>
          <w:rFonts w:eastAsia="Arial" w:cstheme="minorHAnsi"/>
          <w:i/>
          <w:iCs/>
          <w:spacing w:val="6"/>
        </w:rPr>
        <w:t>g</w:t>
      </w:r>
      <w:r w:rsidRPr="00420873">
        <w:rPr>
          <w:rFonts w:eastAsia="Arial" w:cstheme="minorHAnsi"/>
          <w:i/>
          <w:iCs/>
        </w:rPr>
        <w:t>-term</w:t>
      </w:r>
      <w:r w:rsidRPr="00420873">
        <w:rPr>
          <w:rFonts w:cstheme="minorHAnsi"/>
          <w:i/>
          <w:iCs/>
          <w:spacing w:val="-3"/>
        </w:rPr>
        <w:t xml:space="preserve"> </w:t>
      </w:r>
      <w:r w:rsidRPr="00420873">
        <w:rPr>
          <w:rFonts w:eastAsia="Arial" w:cstheme="minorHAnsi"/>
          <w:i/>
          <w:iCs/>
        </w:rPr>
        <w:t>risk</w:t>
      </w:r>
      <w:r w:rsidRPr="00420873">
        <w:rPr>
          <w:rFonts w:cstheme="minorHAnsi"/>
          <w:i/>
          <w:iCs/>
          <w:spacing w:val="5"/>
        </w:rPr>
        <w:t xml:space="preserve"> </w:t>
      </w:r>
      <w:r w:rsidRPr="00420873">
        <w:rPr>
          <w:rFonts w:eastAsia="Arial" w:cstheme="minorHAnsi"/>
          <w:i/>
          <w:iCs/>
        </w:rPr>
        <w:t>to</w:t>
      </w:r>
      <w:r w:rsidRPr="00420873">
        <w:rPr>
          <w:rFonts w:cstheme="minorHAnsi"/>
          <w:i/>
          <w:iCs/>
          <w:spacing w:val="3"/>
        </w:rPr>
        <w:t xml:space="preserve"> </w:t>
      </w:r>
      <w:r w:rsidRPr="00420873">
        <w:rPr>
          <w:rFonts w:eastAsia="Arial" w:cstheme="minorHAnsi"/>
          <w:i/>
          <w:iCs/>
        </w:rPr>
        <w:t>earning</w:t>
      </w:r>
      <w:r w:rsidRPr="00420873">
        <w:rPr>
          <w:rFonts w:eastAsia="Arial" w:cstheme="minorHAnsi"/>
          <w:i/>
          <w:iCs/>
          <w:spacing w:val="4"/>
        </w:rPr>
        <w:t>s</w:t>
      </w:r>
      <w:r w:rsidRPr="00420873">
        <w:rPr>
          <w:rFonts w:eastAsia="Arial" w:cstheme="minorHAnsi"/>
          <w:i/>
          <w:iCs/>
        </w:rPr>
        <w:t>.</w:t>
      </w:r>
      <w:r w:rsidRPr="00420873">
        <w:rPr>
          <w:rFonts w:cstheme="minorHAnsi"/>
          <w:i/>
          <w:iCs/>
        </w:rPr>
        <w:t xml:space="preserve"> </w:t>
      </w:r>
      <w:r w:rsidRPr="00420873">
        <w:rPr>
          <w:rFonts w:eastAsia="Arial" w:cstheme="minorHAnsi"/>
          <w:i/>
          <w:iCs/>
        </w:rPr>
        <w:t>Margin</w:t>
      </w:r>
      <w:r w:rsidRPr="00420873">
        <w:rPr>
          <w:rFonts w:cstheme="minorHAnsi"/>
          <w:i/>
          <w:iCs/>
        </w:rPr>
        <w:t xml:space="preserve"> </w:t>
      </w:r>
      <w:r w:rsidRPr="00420873">
        <w:rPr>
          <w:rFonts w:eastAsia="Arial" w:cstheme="minorHAnsi"/>
          <w:i/>
          <w:iCs/>
        </w:rPr>
        <w:t>Risk</w:t>
      </w:r>
      <w:r w:rsidRPr="00420873">
        <w:rPr>
          <w:rFonts w:cstheme="minorHAnsi"/>
          <w:i/>
          <w:iCs/>
          <w:spacing w:val="-2"/>
        </w:rPr>
        <w:t xml:space="preserve"> </w:t>
      </w:r>
      <w:r w:rsidRPr="00420873">
        <w:rPr>
          <w:rFonts w:eastAsia="Arial" w:cstheme="minorHAnsi"/>
          <w:i/>
          <w:iCs/>
          <w:spacing w:val="-19"/>
        </w:rPr>
        <w:t>T</w:t>
      </w:r>
      <w:r w:rsidRPr="00420873">
        <w:rPr>
          <w:rFonts w:eastAsia="Arial" w:cstheme="minorHAnsi"/>
          <w:i/>
          <w:iCs/>
        </w:rPr>
        <w:t>olerance</w:t>
      </w:r>
      <w:r w:rsidRPr="00420873">
        <w:rPr>
          <w:rFonts w:cstheme="minorHAnsi"/>
          <w:i/>
          <w:iCs/>
          <w:spacing w:val="-3"/>
        </w:rPr>
        <w:t xml:space="preserve"> </w:t>
      </w:r>
      <w:r w:rsidRPr="00420873">
        <w:rPr>
          <w:rFonts w:eastAsia="Arial" w:cstheme="minorHAnsi"/>
          <w:i/>
          <w:iCs/>
        </w:rPr>
        <w:t>is</w:t>
      </w:r>
      <w:r w:rsidRPr="00420873">
        <w:rPr>
          <w:rFonts w:cstheme="minorHAnsi"/>
          <w:i/>
          <w:iCs/>
          <w:spacing w:val="4"/>
        </w:rPr>
        <w:t xml:space="preserve"> </w:t>
      </w:r>
      <w:r w:rsidRPr="00420873">
        <w:rPr>
          <w:rFonts w:eastAsia="Arial" w:cstheme="minorHAnsi"/>
          <w:i/>
          <w:iCs/>
        </w:rPr>
        <w:t>determined</w:t>
      </w:r>
      <w:r w:rsidRPr="00420873">
        <w:rPr>
          <w:rFonts w:cstheme="minorHAnsi"/>
          <w:i/>
          <w:iCs/>
          <w:spacing w:val="-4"/>
        </w:rPr>
        <w:t xml:space="preserve"> </w:t>
      </w:r>
      <w:r w:rsidRPr="00420873">
        <w:rPr>
          <w:rFonts w:eastAsia="Arial" w:cstheme="minorHAnsi"/>
          <w:i/>
          <w:iCs/>
        </w:rPr>
        <w:t>by</w:t>
      </w:r>
      <w:r w:rsidRPr="00420873">
        <w:rPr>
          <w:rFonts w:cstheme="minorHAnsi"/>
          <w:i/>
          <w:iCs/>
          <w:spacing w:val="3"/>
        </w:rPr>
        <w:t xml:space="preserve"> </w:t>
      </w:r>
      <w:r w:rsidRPr="00420873">
        <w:rPr>
          <w:rFonts w:eastAsia="Arial" w:cstheme="minorHAnsi"/>
          <w:i/>
          <w:iCs/>
        </w:rPr>
        <w:t>computing</w:t>
      </w:r>
      <w:r w:rsidRPr="00420873">
        <w:rPr>
          <w:rFonts w:cstheme="minorHAnsi"/>
          <w:i/>
          <w:iCs/>
          <w:spacing w:val="-3"/>
        </w:rPr>
        <w:t xml:space="preserve"> </w:t>
      </w:r>
      <w:r w:rsidRPr="00420873">
        <w:rPr>
          <w:rFonts w:eastAsia="Arial" w:cstheme="minorHAnsi"/>
          <w:i/>
          <w:iCs/>
        </w:rPr>
        <w:t>the</w:t>
      </w:r>
      <w:r w:rsidRPr="00420873">
        <w:rPr>
          <w:rFonts w:cstheme="minorHAnsi"/>
          <w:i/>
          <w:iCs/>
          <w:spacing w:val="2"/>
        </w:rPr>
        <w:t xml:space="preserve"> </w:t>
      </w:r>
      <w:r w:rsidRPr="00420873">
        <w:rPr>
          <w:rFonts w:eastAsia="Arial" w:cstheme="minorHAnsi"/>
          <w:i/>
          <w:iCs/>
        </w:rPr>
        <w:t>minimum</w:t>
      </w:r>
      <w:r w:rsidRPr="00420873">
        <w:rPr>
          <w:rFonts w:cstheme="minorHAnsi"/>
          <w:i/>
          <w:iCs/>
          <w:spacing w:val="-2"/>
        </w:rPr>
        <w:t xml:space="preserve"> </w:t>
      </w:r>
      <w:r w:rsidRPr="00420873">
        <w:rPr>
          <w:rFonts w:eastAsia="Arial" w:cstheme="minorHAnsi"/>
          <w:i/>
          <w:iCs/>
        </w:rPr>
        <w:t>net</w:t>
      </w:r>
      <w:r w:rsidRPr="00420873">
        <w:rPr>
          <w:rFonts w:cstheme="minorHAnsi"/>
          <w:i/>
          <w:iCs/>
          <w:spacing w:val="2"/>
        </w:rPr>
        <w:t xml:space="preserve"> </w:t>
      </w:r>
      <w:r w:rsidRPr="00420873">
        <w:rPr>
          <w:rFonts w:eastAsia="Arial" w:cstheme="minorHAnsi"/>
          <w:i/>
          <w:iCs/>
        </w:rPr>
        <w:t>interest</w:t>
      </w:r>
      <w:r w:rsidRPr="00420873">
        <w:rPr>
          <w:rFonts w:cstheme="minorHAnsi"/>
          <w:i/>
          <w:iCs/>
          <w:spacing w:val="-1"/>
        </w:rPr>
        <w:t xml:space="preserve"> </w:t>
      </w:r>
      <w:r w:rsidRPr="00420873">
        <w:rPr>
          <w:rFonts w:eastAsia="Arial" w:cstheme="minorHAnsi"/>
          <w:i/>
          <w:iCs/>
        </w:rPr>
        <w:t>margin</w:t>
      </w:r>
      <w:r w:rsidRPr="00420873">
        <w:rPr>
          <w:rFonts w:cstheme="minorHAnsi"/>
          <w:i/>
          <w:iCs/>
        </w:rPr>
        <w:t xml:space="preserve"> </w:t>
      </w:r>
      <w:r w:rsidRPr="00420873">
        <w:rPr>
          <w:rFonts w:eastAsia="Arial" w:cstheme="minorHAnsi"/>
          <w:i/>
          <w:iCs/>
        </w:rPr>
        <w:t>required</w:t>
      </w:r>
      <w:r w:rsidRPr="00420873">
        <w:rPr>
          <w:rFonts w:cstheme="minorHAnsi"/>
          <w:i/>
          <w:iCs/>
          <w:spacing w:val="-2"/>
        </w:rPr>
        <w:t xml:space="preserve"> </w:t>
      </w:r>
      <w:r w:rsidRPr="00420873">
        <w:rPr>
          <w:rFonts w:eastAsia="Arial" w:cstheme="minorHAnsi"/>
          <w:i/>
          <w:iCs/>
        </w:rPr>
        <w:t>to</w:t>
      </w:r>
      <w:r w:rsidRPr="00420873">
        <w:rPr>
          <w:rFonts w:cstheme="minorHAnsi"/>
          <w:i/>
          <w:iCs/>
          <w:spacing w:val="3"/>
        </w:rPr>
        <w:t xml:space="preserve"> </w:t>
      </w:r>
      <w:r w:rsidRPr="00420873">
        <w:rPr>
          <w:rFonts w:eastAsia="Arial" w:cstheme="minorHAnsi"/>
          <w:i/>
          <w:iCs/>
        </w:rPr>
        <w:t>meet</w:t>
      </w:r>
      <w:r w:rsidRPr="00420873">
        <w:rPr>
          <w:rFonts w:cstheme="minorHAnsi"/>
          <w:i/>
          <w:iCs/>
          <w:spacing w:val="1"/>
        </w:rPr>
        <w:t xml:space="preserve"> </w:t>
      </w:r>
      <w:r w:rsidRPr="00420873">
        <w:rPr>
          <w:rFonts w:eastAsia="Arial" w:cstheme="minorHAnsi"/>
          <w:i/>
          <w:iCs/>
        </w:rPr>
        <w:t>all</w:t>
      </w:r>
      <w:r w:rsidRPr="00420873">
        <w:rPr>
          <w:rFonts w:cstheme="minorHAnsi"/>
          <w:i/>
          <w:iCs/>
          <w:spacing w:val="3"/>
        </w:rPr>
        <w:t xml:space="preserve"> </w:t>
      </w:r>
      <w:r w:rsidRPr="00420873">
        <w:rPr>
          <w:rFonts w:eastAsia="Arial" w:cstheme="minorHAnsi"/>
          <w:i/>
          <w:iCs/>
        </w:rPr>
        <w:t>expenses,</w:t>
      </w:r>
      <w:r w:rsidRPr="00420873">
        <w:rPr>
          <w:rFonts w:cstheme="minorHAnsi"/>
          <w:i/>
          <w:iCs/>
          <w:spacing w:val="4"/>
        </w:rPr>
        <w:t xml:space="preserve"> </w:t>
      </w:r>
      <w:r w:rsidRPr="00420873">
        <w:rPr>
          <w:rFonts w:eastAsia="Arial" w:cstheme="minorHAnsi"/>
          <w:i/>
          <w:iCs/>
        </w:rPr>
        <w:t>including</w:t>
      </w:r>
      <w:r w:rsidRPr="00420873">
        <w:rPr>
          <w:rFonts w:cstheme="minorHAnsi"/>
          <w:i/>
          <w:iCs/>
          <w:spacing w:val="-2"/>
        </w:rPr>
        <w:t xml:space="preserve"> </w:t>
      </w:r>
      <w:r w:rsidRPr="00420873">
        <w:rPr>
          <w:rFonts w:eastAsia="Arial" w:cstheme="minorHAnsi"/>
          <w:i/>
          <w:iCs/>
        </w:rPr>
        <w:t>capital</w:t>
      </w:r>
      <w:r w:rsidRPr="00420873">
        <w:rPr>
          <w:rFonts w:cstheme="minorHAnsi"/>
          <w:i/>
          <w:iCs/>
        </w:rPr>
        <w:t xml:space="preserve"> </w:t>
      </w:r>
      <w:r w:rsidRPr="00420873">
        <w:rPr>
          <w:rFonts w:eastAsia="Arial" w:cstheme="minorHAnsi"/>
          <w:i/>
          <w:iCs/>
        </w:rPr>
        <w:t>formation</w:t>
      </w:r>
      <w:r w:rsidRPr="00420873">
        <w:rPr>
          <w:rFonts w:cstheme="minorHAnsi"/>
          <w:i/>
          <w:iCs/>
          <w:spacing w:val="-2"/>
        </w:rPr>
        <w:t xml:space="preserve"> </w:t>
      </w:r>
      <w:r w:rsidRPr="00420873">
        <w:rPr>
          <w:rFonts w:eastAsia="Arial" w:cstheme="minorHAnsi"/>
          <w:i/>
          <w:iCs/>
        </w:rPr>
        <w:t>and</w:t>
      </w:r>
      <w:r w:rsidRPr="00420873">
        <w:rPr>
          <w:rFonts w:cstheme="minorHAnsi"/>
          <w:i/>
          <w:iCs/>
          <w:spacing w:val="2"/>
        </w:rPr>
        <w:t xml:space="preserve"> </w:t>
      </w:r>
      <w:r w:rsidRPr="00420873">
        <w:rPr>
          <w:rFonts w:eastAsia="Arial" w:cstheme="minorHAnsi"/>
          <w:i/>
          <w:iCs/>
        </w:rPr>
        <w:t>dividend</w:t>
      </w:r>
      <w:r w:rsidRPr="00420873">
        <w:rPr>
          <w:rFonts w:eastAsia="Arial" w:cstheme="minorHAnsi"/>
          <w:i/>
          <w:iCs/>
          <w:spacing w:val="9"/>
        </w:rPr>
        <w:t>s</w:t>
      </w:r>
      <w:r w:rsidRPr="00420873">
        <w:rPr>
          <w:rFonts w:eastAsia="Arial" w:cstheme="minorHAnsi"/>
          <w:i/>
          <w:iCs/>
        </w:rPr>
        <w:t>.</w:t>
      </w:r>
      <w:r w:rsidRPr="00420873">
        <w:rPr>
          <w:rFonts w:cstheme="minorHAnsi"/>
          <w:i/>
          <w:iCs/>
          <w:spacing w:val="-3"/>
        </w:rPr>
        <w:t xml:space="preserve"> </w:t>
      </w:r>
      <w:r w:rsidRPr="00420873">
        <w:rPr>
          <w:rFonts w:eastAsia="Arial" w:cstheme="minorHAnsi"/>
          <w:i/>
          <w:iCs/>
        </w:rPr>
        <w:t>The</w:t>
      </w:r>
      <w:r w:rsidRPr="00420873">
        <w:rPr>
          <w:rFonts w:cstheme="minorHAnsi"/>
          <w:i/>
          <w:iCs/>
          <w:spacing w:val="-1"/>
        </w:rPr>
        <w:t xml:space="preserve"> </w:t>
      </w:r>
      <w:r w:rsidRPr="00420873">
        <w:rPr>
          <w:rFonts w:eastAsia="Arial" w:cstheme="minorHAnsi"/>
          <w:i/>
          <w:iCs/>
          <w:spacing w:val="-6"/>
        </w:rPr>
        <w:t>T</w:t>
      </w:r>
      <w:r w:rsidRPr="00420873">
        <w:rPr>
          <w:rFonts w:eastAsia="Arial" w:cstheme="minorHAnsi"/>
          <w:i/>
          <w:iCs/>
        </w:rPr>
        <w:t>ier</w:t>
      </w:r>
      <w:r w:rsidRPr="00420873">
        <w:rPr>
          <w:rFonts w:cstheme="minorHAnsi"/>
          <w:i/>
          <w:iCs/>
          <w:spacing w:val="4"/>
        </w:rPr>
        <w:t xml:space="preserve"> </w:t>
      </w:r>
      <w:r w:rsidRPr="00420873">
        <w:rPr>
          <w:rFonts w:eastAsia="Arial" w:cstheme="minorHAnsi"/>
          <w:i/>
          <w:iCs/>
        </w:rPr>
        <w:t>1</w:t>
      </w:r>
      <w:r w:rsidRPr="00420873">
        <w:rPr>
          <w:rFonts w:cstheme="minorHAnsi"/>
          <w:i/>
          <w:iCs/>
          <w:spacing w:val="4"/>
        </w:rPr>
        <w:t xml:space="preserve"> </w:t>
      </w:r>
      <w:r w:rsidRPr="00420873">
        <w:rPr>
          <w:rFonts w:eastAsia="Arial" w:cstheme="minorHAnsi"/>
          <w:i/>
          <w:iCs/>
        </w:rPr>
        <w:t>Equity</w:t>
      </w:r>
      <w:r w:rsidRPr="00420873">
        <w:rPr>
          <w:rFonts w:cstheme="minorHAnsi"/>
          <w:i/>
          <w:iCs/>
        </w:rPr>
        <w:t xml:space="preserve"> </w:t>
      </w:r>
      <w:r w:rsidRPr="00420873">
        <w:rPr>
          <w:rFonts w:eastAsia="Arial" w:cstheme="minorHAnsi"/>
          <w:i/>
          <w:iCs/>
        </w:rPr>
        <w:t>Risk</w:t>
      </w:r>
      <w:r w:rsidRPr="00420873">
        <w:rPr>
          <w:rFonts w:cstheme="minorHAnsi"/>
          <w:i/>
          <w:iCs/>
          <w:spacing w:val="-2"/>
        </w:rPr>
        <w:t xml:space="preserve"> </w:t>
      </w:r>
      <w:r w:rsidRPr="00420873">
        <w:rPr>
          <w:rFonts w:eastAsia="Arial" w:cstheme="minorHAnsi"/>
          <w:i/>
          <w:iCs/>
          <w:spacing w:val="-19"/>
        </w:rPr>
        <w:t>T</w:t>
      </w:r>
      <w:r w:rsidRPr="00420873">
        <w:rPr>
          <w:rFonts w:eastAsia="Arial" w:cstheme="minorHAnsi"/>
          <w:i/>
          <w:iCs/>
        </w:rPr>
        <w:t>olerance</w:t>
      </w:r>
      <w:r w:rsidRPr="00420873">
        <w:rPr>
          <w:rFonts w:cstheme="minorHAnsi"/>
          <w:i/>
          <w:iCs/>
          <w:spacing w:val="-3"/>
        </w:rPr>
        <w:t xml:space="preserve"> </w:t>
      </w:r>
      <w:r w:rsidRPr="00420873">
        <w:rPr>
          <w:rFonts w:eastAsia="Arial" w:cstheme="minorHAnsi"/>
          <w:i/>
          <w:iCs/>
        </w:rPr>
        <w:t>is</w:t>
      </w:r>
      <w:r w:rsidRPr="00420873">
        <w:rPr>
          <w:rFonts w:cstheme="minorHAnsi"/>
          <w:i/>
          <w:iCs/>
        </w:rPr>
        <w:t xml:space="preserve"> </w:t>
      </w:r>
      <w:r w:rsidRPr="00420873">
        <w:rPr>
          <w:rFonts w:eastAsia="Arial" w:cstheme="minorHAnsi"/>
          <w:i/>
          <w:iCs/>
        </w:rPr>
        <w:t>the</w:t>
      </w:r>
      <w:r w:rsidRPr="00420873">
        <w:rPr>
          <w:rFonts w:cstheme="minorHAnsi"/>
          <w:i/>
          <w:iCs/>
          <w:spacing w:val="2"/>
        </w:rPr>
        <w:t xml:space="preserve"> </w:t>
      </w:r>
      <w:r w:rsidRPr="00420873">
        <w:rPr>
          <w:rFonts w:eastAsia="Arial" w:cstheme="minorHAnsi"/>
          <w:i/>
          <w:iCs/>
        </w:rPr>
        <w:t>di</w:t>
      </w:r>
      <w:r w:rsidRPr="00420873">
        <w:rPr>
          <w:rFonts w:eastAsia="Arial" w:cstheme="minorHAnsi"/>
          <w:i/>
          <w:iCs/>
          <w:spacing w:val="-3"/>
        </w:rPr>
        <w:t>f</w:t>
      </w:r>
      <w:r w:rsidRPr="00420873">
        <w:rPr>
          <w:rFonts w:eastAsia="Arial" w:cstheme="minorHAnsi"/>
          <w:i/>
          <w:iCs/>
        </w:rPr>
        <w:t>ference</w:t>
      </w:r>
      <w:r w:rsidRPr="00420873">
        <w:rPr>
          <w:rFonts w:cstheme="minorHAnsi"/>
          <w:i/>
          <w:iCs/>
          <w:spacing w:val="-3"/>
        </w:rPr>
        <w:t xml:space="preserve"> </w:t>
      </w:r>
      <w:r w:rsidRPr="00420873">
        <w:rPr>
          <w:rFonts w:eastAsia="Arial" w:cstheme="minorHAnsi"/>
          <w:i/>
          <w:iCs/>
        </w:rPr>
        <w:t>between</w:t>
      </w:r>
      <w:r w:rsidRPr="00420873">
        <w:rPr>
          <w:rFonts w:cstheme="minorHAnsi"/>
          <w:i/>
          <w:iCs/>
          <w:spacing w:val="-2"/>
        </w:rPr>
        <w:t xml:space="preserve"> </w:t>
      </w:r>
      <w:r w:rsidRPr="00420873">
        <w:rPr>
          <w:rFonts w:eastAsia="Arial" w:cstheme="minorHAnsi"/>
          <w:i/>
          <w:iCs/>
        </w:rPr>
        <w:t>the</w:t>
      </w:r>
      <w:r w:rsidRPr="00420873">
        <w:rPr>
          <w:rFonts w:cstheme="minorHAnsi"/>
          <w:i/>
          <w:iCs/>
          <w:spacing w:val="2"/>
        </w:rPr>
        <w:t xml:space="preserve"> </w:t>
      </w:r>
      <w:r w:rsidRPr="00420873">
        <w:rPr>
          <w:rFonts w:eastAsia="Arial" w:cstheme="minorHAnsi"/>
          <w:i/>
          <w:iCs/>
        </w:rPr>
        <w:t>minimum</w:t>
      </w:r>
      <w:r w:rsidRPr="00420873">
        <w:rPr>
          <w:rFonts w:cstheme="minorHAnsi"/>
          <w:i/>
          <w:iCs/>
          <w:spacing w:val="-2"/>
        </w:rPr>
        <w:t xml:space="preserve"> </w:t>
      </w:r>
      <w:r w:rsidRPr="00420873">
        <w:rPr>
          <w:rFonts w:eastAsia="Arial" w:cstheme="minorHAnsi"/>
          <w:i/>
          <w:iCs/>
        </w:rPr>
        <w:t>acceptable</w:t>
      </w:r>
      <w:r w:rsidRPr="00420873">
        <w:rPr>
          <w:rFonts w:cstheme="minorHAnsi"/>
          <w:i/>
          <w:iCs/>
          <w:spacing w:val="21"/>
        </w:rPr>
        <w:t xml:space="preserve"> </w:t>
      </w:r>
      <w:r w:rsidRPr="00420873">
        <w:rPr>
          <w:rFonts w:eastAsia="Arial" w:cstheme="minorHAnsi"/>
          <w:i/>
          <w:iCs/>
        </w:rPr>
        <w:t>capital</w:t>
      </w:r>
      <w:r w:rsidRPr="00420873">
        <w:rPr>
          <w:rFonts w:cstheme="minorHAnsi"/>
          <w:i/>
          <w:iCs/>
        </w:rPr>
        <w:t xml:space="preserve"> </w:t>
      </w:r>
      <w:r w:rsidRPr="00420873">
        <w:rPr>
          <w:rFonts w:eastAsia="Arial" w:cstheme="minorHAnsi"/>
          <w:i/>
          <w:iCs/>
        </w:rPr>
        <w:t>ratio</w:t>
      </w:r>
      <w:r w:rsidRPr="00420873">
        <w:rPr>
          <w:rFonts w:cstheme="minorHAnsi"/>
          <w:i/>
          <w:iCs/>
          <w:spacing w:val="1"/>
        </w:rPr>
        <w:t xml:space="preserve"> </w:t>
      </w:r>
      <w:r w:rsidRPr="00420873">
        <w:rPr>
          <w:rFonts w:eastAsia="Arial" w:cstheme="minorHAnsi"/>
          <w:i/>
          <w:iCs/>
        </w:rPr>
        <w:t>and</w:t>
      </w:r>
      <w:r w:rsidRPr="00420873">
        <w:rPr>
          <w:rFonts w:cstheme="minorHAnsi"/>
          <w:i/>
          <w:iCs/>
        </w:rPr>
        <w:t xml:space="preserve"> </w:t>
      </w:r>
      <w:r w:rsidRPr="00420873">
        <w:rPr>
          <w:rFonts w:eastAsia="Arial" w:cstheme="minorHAnsi"/>
          <w:i/>
          <w:iCs/>
        </w:rPr>
        <w:t>the</w:t>
      </w:r>
      <w:r w:rsidRPr="00420873">
        <w:rPr>
          <w:rFonts w:cstheme="minorHAnsi"/>
          <w:i/>
          <w:iCs/>
          <w:spacing w:val="2"/>
        </w:rPr>
        <w:t xml:space="preserve"> </w:t>
      </w:r>
      <w:r w:rsidRPr="00420873">
        <w:rPr>
          <w:rFonts w:eastAsia="Arial" w:cstheme="minorHAnsi"/>
          <w:i/>
          <w:iCs/>
        </w:rPr>
        <w:t>ban</w:t>
      </w:r>
      <w:r w:rsidRPr="00420873">
        <w:rPr>
          <w:rFonts w:eastAsia="Arial" w:cstheme="minorHAnsi"/>
          <w:i/>
          <w:iCs/>
          <w:spacing w:val="3"/>
        </w:rPr>
        <w:t>k</w:t>
      </w:r>
      <w:r w:rsidRPr="00420873">
        <w:rPr>
          <w:rFonts w:eastAsia="Arial" w:cstheme="minorHAnsi"/>
          <w:i/>
          <w:iCs/>
        </w:rPr>
        <w:t>'s</w:t>
      </w:r>
      <w:r w:rsidRPr="00420873">
        <w:rPr>
          <w:rFonts w:cstheme="minorHAnsi"/>
          <w:i/>
          <w:iCs/>
        </w:rPr>
        <w:t xml:space="preserve"> </w:t>
      </w:r>
      <w:r w:rsidRPr="00420873">
        <w:rPr>
          <w:rFonts w:eastAsia="Arial" w:cstheme="minorHAnsi"/>
          <w:i/>
          <w:iCs/>
        </w:rPr>
        <w:t>capital</w:t>
      </w:r>
      <w:r w:rsidRPr="00420873">
        <w:rPr>
          <w:rFonts w:cstheme="minorHAnsi"/>
          <w:i/>
          <w:iCs/>
        </w:rPr>
        <w:t xml:space="preserve"> </w:t>
      </w:r>
      <w:r w:rsidRPr="00420873">
        <w:rPr>
          <w:rFonts w:eastAsia="Arial" w:cstheme="minorHAnsi"/>
          <w:i/>
          <w:iCs/>
        </w:rPr>
        <w:t>rati</w:t>
      </w:r>
      <w:r w:rsidRPr="00420873">
        <w:rPr>
          <w:rFonts w:eastAsia="Arial" w:cstheme="minorHAnsi"/>
          <w:i/>
          <w:iCs/>
          <w:spacing w:val="5"/>
        </w:rPr>
        <w:t>o</w:t>
      </w:r>
      <w:r w:rsidRPr="00A13AB6">
        <w:rPr>
          <w:rFonts w:eastAsia="Arial" w:cstheme="minorHAnsi"/>
        </w:rPr>
        <w:t>.</w:t>
      </w:r>
      <w:r w:rsidRPr="00A13AB6">
        <w:rPr>
          <w:rFonts w:cstheme="minorHAnsi"/>
          <w:spacing w:val="1"/>
        </w:rPr>
        <w:t xml:space="preserve"> </w:t>
      </w:r>
      <w:r w:rsidRPr="00A13AB6">
        <w:rPr>
          <w:rFonts w:eastAsia="Arial" w:cstheme="minorHAnsi"/>
        </w:rPr>
        <w:t>This</w:t>
      </w:r>
      <w:r w:rsidRPr="00A13AB6">
        <w:rPr>
          <w:rFonts w:cstheme="minorHAnsi"/>
          <w:spacing w:val="2"/>
        </w:rPr>
        <w:t xml:space="preserve"> </w:t>
      </w:r>
      <w:r w:rsidRPr="00A13AB6">
        <w:rPr>
          <w:rFonts w:eastAsia="Arial" w:cstheme="minorHAnsi"/>
        </w:rPr>
        <w:t>value</w:t>
      </w:r>
      <w:r w:rsidRPr="00A13AB6">
        <w:rPr>
          <w:rFonts w:cstheme="minorHAnsi"/>
          <w:spacing w:val="1"/>
        </w:rPr>
        <w:t xml:space="preserve"> </w:t>
      </w:r>
      <w:r w:rsidRPr="00A13AB6">
        <w:rPr>
          <w:rFonts w:eastAsia="Arial" w:cstheme="minorHAnsi"/>
        </w:rPr>
        <w:t>provides</w:t>
      </w:r>
      <w:r w:rsidRPr="00A13AB6">
        <w:rPr>
          <w:rFonts w:cstheme="minorHAnsi"/>
          <w:spacing w:val="-2"/>
        </w:rPr>
        <w:t xml:space="preserve"> </w:t>
      </w:r>
      <w:r w:rsidRPr="00A13AB6">
        <w:rPr>
          <w:rFonts w:eastAsia="Arial" w:cstheme="minorHAnsi"/>
        </w:rPr>
        <w:t>a</w:t>
      </w:r>
      <w:r w:rsidRPr="00A13AB6">
        <w:rPr>
          <w:rFonts w:cstheme="minorHAnsi"/>
          <w:spacing w:val="4"/>
        </w:rPr>
        <w:t xml:space="preserve"> </w:t>
      </w:r>
      <w:r w:rsidRPr="00A13AB6">
        <w:rPr>
          <w:rFonts w:eastAsia="Arial" w:cstheme="minorHAnsi"/>
        </w:rPr>
        <w:t>measurement</w:t>
      </w:r>
      <w:r w:rsidRPr="00A13AB6">
        <w:rPr>
          <w:rFonts w:cstheme="minorHAnsi"/>
          <w:spacing w:val="-6"/>
        </w:rPr>
        <w:t xml:space="preserve"> </w:t>
      </w:r>
      <w:r w:rsidRPr="00A13AB6">
        <w:rPr>
          <w:rFonts w:eastAsia="Arial" w:cstheme="minorHAnsi"/>
        </w:rPr>
        <w:t>of</w:t>
      </w:r>
      <w:r w:rsidRPr="00A13AB6">
        <w:rPr>
          <w:rFonts w:cstheme="minorHAnsi"/>
          <w:spacing w:val="3"/>
        </w:rPr>
        <w:t xml:space="preserve"> </w:t>
      </w:r>
      <w:r w:rsidRPr="00A13AB6">
        <w:rPr>
          <w:rFonts w:eastAsia="Arial" w:cstheme="minorHAnsi"/>
        </w:rPr>
        <w:t>the</w:t>
      </w:r>
      <w:r w:rsidRPr="00A13AB6">
        <w:rPr>
          <w:rFonts w:cstheme="minorHAnsi"/>
          <w:spacing w:val="2"/>
        </w:rPr>
        <w:t xml:space="preserve"> </w:t>
      </w:r>
      <w:r w:rsidRPr="00A13AB6">
        <w:rPr>
          <w:rFonts w:eastAsia="Arial" w:cstheme="minorHAnsi"/>
        </w:rPr>
        <w:t>ban</w:t>
      </w:r>
      <w:r w:rsidRPr="00A13AB6">
        <w:rPr>
          <w:rFonts w:eastAsia="Arial" w:cstheme="minorHAnsi"/>
          <w:spacing w:val="16"/>
        </w:rPr>
        <w:t>k</w:t>
      </w:r>
      <w:r w:rsidRPr="00A13AB6">
        <w:rPr>
          <w:rFonts w:eastAsia="Arial" w:cstheme="minorHAnsi"/>
        </w:rPr>
        <w:t>'s</w:t>
      </w:r>
      <w:r w:rsidRPr="00A13AB6">
        <w:rPr>
          <w:rFonts w:cstheme="minorHAnsi"/>
        </w:rPr>
        <w:t xml:space="preserve"> </w:t>
      </w:r>
      <w:r w:rsidRPr="00A13AB6">
        <w:rPr>
          <w:rFonts w:eastAsia="Arial" w:cstheme="minorHAnsi"/>
        </w:rPr>
        <w:t>ability</w:t>
      </w:r>
      <w:r w:rsidRPr="00A13AB6">
        <w:rPr>
          <w:rFonts w:cstheme="minorHAnsi"/>
        </w:rPr>
        <w:t xml:space="preserve"> </w:t>
      </w:r>
      <w:r w:rsidRPr="00A13AB6">
        <w:rPr>
          <w:rFonts w:eastAsia="Arial" w:cstheme="minorHAnsi"/>
        </w:rPr>
        <w:t>to</w:t>
      </w:r>
      <w:r w:rsidRPr="00A13AB6">
        <w:rPr>
          <w:rFonts w:cstheme="minorHAnsi"/>
          <w:spacing w:val="3"/>
        </w:rPr>
        <w:t xml:space="preserve"> </w:t>
      </w:r>
      <w:r w:rsidRPr="00A13AB6">
        <w:rPr>
          <w:rFonts w:eastAsia="Arial" w:cstheme="minorHAnsi"/>
        </w:rPr>
        <w:t>lose</w:t>
      </w:r>
      <w:r w:rsidRPr="00A13AB6">
        <w:rPr>
          <w:rFonts w:cstheme="minorHAnsi"/>
          <w:spacing w:val="2"/>
        </w:rPr>
        <w:t xml:space="preserve"> </w:t>
      </w:r>
      <w:r w:rsidRPr="00A13AB6">
        <w:rPr>
          <w:rFonts w:eastAsia="Arial" w:cstheme="minorHAnsi"/>
        </w:rPr>
        <w:t>capital</w:t>
      </w:r>
      <w:r w:rsidRPr="00A13AB6">
        <w:rPr>
          <w:rFonts w:cstheme="minorHAnsi"/>
        </w:rPr>
        <w:t xml:space="preserve"> </w:t>
      </w:r>
      <w:r w:rsidRPr="00A13AB6">
        <w:rPr>
          <w:rFonts w:eastAsia="Arial" w:cstheme="minorHAnsi"/>
        </w:rPr>
        <w:t>and</w:t>
      </w:r>
      <w:r w:rsidRPr="00A13AB6">
        <w:rPr>
          <w:rFonts w:cstheme="minorHAnsi"/>
          <w:spacing w:val="2"/>
        </w:rPr>
        <w:t xml:space="preserve"> </w:t>
      </w:r>
      <w:r w:rsidRPr="00A13AB6">
        <w:rPr>
          <w:rFonts w:eastAsia="Arial" w:cstheme="minorHAnsi"/>
        </w:rPr>
        <w:t>still</w:t>
      </w:r>
      <w:r w:rsidRPr="00A13AB6">
        <w:rPr>
          <w:rFonts w:cstheme="minorHAnsi"/>
          <w:spacing w:val="2"/>
        </w:rPr>
        <w:t xml:space="preserve"> </w:t>
      </w:r>
      <w:r w:rsidRPr="00A13AB6">
        <w:rPr>
          <w:rFonts w:eastAsia="Arial" w:cstheme="minorHAnsi"/>
        </w:rPr>
        <w:t>maintain</w:t>
      </w:r>
      <w:r w:rsidRPr="00A13AB6">
        <w:rPr>
          <w:rFonts w:cstheme="minorHAnsi"/>
          <w:spacing w:val="-2"/>
        </w:rPr>
        <w:t xml:space="preserve"> </w:t>
      </w:r>
      <w:r w:rsidRPr="00A13AB6">
        <w:rPr>
          <w:rFonts w:eastAsia="Arial" w:cstheme="minorHAnsi"/>
        </w:rPr>
        <w:t>its</w:t>
      </w:r>
      <w:r w:rsidRPr="00A13AB6">
        <w:rPr>
          <w:rFonts w:cstheme="minorHAnsi"/>
          <w:spacing w:val="3"/>
        </w:rPr>
        <w:t xml:space="preserve"> </w:t>
      </w:r>
      <w:r w:rsidRPr="00A13AB6">
        <w:rPr>
          <w:rFonts w:eastAsia="Arial" w:cstheme="minorHAnsi"/>
        </w:rPr>
        <w:t>minimum</w:t>
      </w:r>
      <w:r w:rsidRPr="00A13AB6">
        <w:rPr>
          <w:rFonts w:cstheme="minorHAnsi"/>
          <w:spacing w:val="-2"/>
        </w:rPr>
        <w:t xml:space="preserve"> </w:t>
      </w:r>
      <w:r w:rsidRPr="00A13AB6">
        <w:rPr>
          <w:rFonts w:eastAsia="Arial" w:cstheme="minorHAnsi"/>
        </w:rPr>
        <w:t>capital</w:t>
      </w:r>
      <w:r w:rsidRPr="00A13AB6">
        <w:rPr>
          <w:rFonts w:cstheme="minorHAnsi"/>
        </w:rPr>
        <w:t xml:space="preserve"> </w:t>
      </w:r>
      <w:r w:rsidRPr="00A13AB6">
        <w:rPr>
          <w:rFonts w:eastAsia="Arial" w:cstheme="minorHAnsi"/>
        </w:rPr>
        <w:t>rati</w:t>
      </w:r>
      <w:r w:rsidRPr="00A13AB6">
        <w:rPr>
          <w:rFonts w:eastAsia="Arial" w:cstheme="minorHAnsi"/>
          <w:spacing w:val="2"/>
        </w:rPr>
        <w:t>o</w:t>
      </w:r>
      <w:r w:rsidRPr="00A13AB6">
        <w:rPr>
          <w:rFonts w:eastAsia="Arial" w:cstheme="minorHAnsi"/>
        </w:rPr>
        <w:t>.</w:t>
      </w:r>
      <w:r w:rsidRPr="00A13AB6">
        <w:rPr>
          <w:rFonts w:cstheme="minorHAnsi"/>
          <w:spacing w:val="1"/>
        </w:rPr>
        <w:t xml:space="preserve"> </w:t>
      </w:r>
      <w:r w:rsidRPr="00420873">
        <w:rPr>
          <w:rFonts w:eastAsia="Arial" w:cstheme="minorHAnsi"/>
          <w:i/>
          <w:iCs/>
          <w:spacing w:val="-6"/>
        </w:rPr>
        <w:t>T</w:t>
      </w:r>
      <w:r w:rsidRPr="00420873">
        <w:rPr>
          <w:rFonts w:eastAsia="Arial" w:cstheme="minorHAnsi"/>
          <w:i/>
          <w:iCs/>
        </w:rPr>
        <w:t>ier</w:t>
      </w:r>
      <w:r w:rsidRPr="00420873">
        <w:rPr>
          <w:rFonts w:cstheme="minorHAnsi"/>
          <w:i/>
          <w:iCs/>
          <w:spacing w:val="4"/>
        </w:rPr>
        <w:t xml:space="preserve"> </w:t>
      </w:r>
      <w:r w:rsidRPr="00420873">
        <w:rPr>
          <w:rFonts w:eastAsia="Arial" w:cstheme="minorHAnsi"/>
          <w:i/>
          <w:iCs/>
        </w:rPr>
        <w:t>1</w:t>
      </w:r>
      <w:r w:rsidRPr="00420873">
        <w:rPr>
          <w:rFonts w:cstheme="minorHAnsi"/>
          <w:i/>
          <w:iCs/>
          <w:spacing w:val="4"/>
        </w:rPr>
        <w:t xml:space="preserve"> </w:t>
      </w:r>
      <w:r w:rsidRPr="00420873">
        <w:rPr>
          <w:rFonts w:eastAsia="Arial" w:cstheme="minorHAnsi"/>
          <w:i/>
          <w:iCs/>
        </w:rPr>
        <w:t>Equity</w:t>
      </w:r>
      <w:r w:rsidRPr="00420873">
        <w:rPr>
          <w:rFonts w:cstheme="minorHAnsi"/>
          <w:i/>
          <w:iCs/>
        </w:rPr>
        <w:t xml:space="preserve"> </w:t>
      </w:r>
      <w:r w:rsidRPr="00420873">
        <w:rPr>
          <w:rFonts w:eastAsia="Arial" w:cstheme="minorHAnsi"/>
          <w:i/>
          <w:iCs/>
        </w:rPr>
        <w:t>Risk</w:t>
      </w:r>
      <w:r w:rsidRPr="00420873">
        <w:rPr>
          <w:rFonts w:cstheme="minorHAnsi"/>
          <w:i/>
          <w:iCs/>
          <w:spacing w:val="-2"/>
        </w:rPr>
        <w:t xml:space="preserve"> </w:t>
      </w:r>
      <w:r w:rsidRPr="00420873">
        <w:rPr>
          <w:rFonts w:eastAsia="Arial" w:cstheme="minorHAnsi"/>
          <w:i/>
          <w:iCs/>
          <w:spacing w:val="-19"/>
        </w:rPr>
        <w:t>T</w:t>
      </w:r>
      <w:r w:rsidRPr="00420873">
        <w:rPr>
          <w:rFonts w:eastAsia="Arial" w:cstheme="minorHAnsi"/>
          <w:i/>
          <w:iCs/>
        </w:rPr>
        <w:t>olerance</w:t>
      </w:r>
      <w:r w:rsidRPr="00420873">
        <w:rPr>
          <w:rFonts w:cstheme="minorHAnsi"/>
          <w:i/>
          <w:iCs/>
          <w:spacing w:val="-3"/>
        </w:rPr>
        <w:t xml:space="preserve"> </w:t>
      </w:r>
      <w:r w:rsidRPr="00420873">
        <w:rPr>
          <w:rFonts w:eastAsia="Arial" w:cstheme="minorHAnsi"/>
          <w:i/>
          <w:iCs/>
        </w:rPr>
        <w:t>is</w:t>
      </w:r>
      <w:r w:rsidRPr="00420873">
        <w:rPr>
          <w:rFonts w:cstheme="minorHAnsi"/>
          <w:i/>
          <w:iCs/>
          <w:spacing w:val="11"/>
        </w:rPr>
        <w:t xml:space="preserve"> </w:t>
      </w:r>
      <w:r w:rsidRPr="00420873">
        <w:rPr>
          <w:rFonts w:eastAsia="Arial" w:cstheme="minorHAnsi"/>
          <w:i/>
          <w:iCs/>
        </w:rPr>
        <w:t>determined</w:t>
      </w:r>
      <w:r w:rsidRPr="00420873">
        <w:rPr>
          <w:rFonts w:cstheme="minorHAnsi"/>
          <w:i/>
          <w:iCs/>
          <w:spacing w:val="-4"/>
        </w:rPr>
        <w:t xml:space="preserve"> </w:t>
      </w:r>
      <w:r w:rsidRPr="00420873">
        <w:rPr>
          <w:rFonts w:eastAsia="Arial" w:cstheme="minorHAnsi"/>
          <w:i/>
          <w:iCs/>
        </w:rPr>
        <w:t>by</w:t>
      </w:r>
      <w:r w:rsidRPr="00420873">
        <w:rPr>
          <w:rFonts w:cstheme="minorHAnsi"/>
          <w:i/>
          <w:iCs/>
          <w:spacing w:val="3"/>
        </w:rPr>
        <w:t xml:space="preserve"> </w:t>
      </w:r>
      <w:r w:rsidRPr="00420873">
        <w:rPr>
          <w:rFonts w:eastAsia="Arial" w:cstheme="minorHAnsi"/>
          <w:i/>
          <w:iCs/>
        </w:rPr>
        <w:t>subtracting</w:t>
      </w:r>
      <w:r w:rsidRPr="00420873">
        <w:rPr>
          <w:rFonts w:cstheme="minorHAnsi"/>
          <w:i/>
          <w:iCs/>
        </w:rPr>
        <w:t xml:space="preserve"> </w:t>
      </w:r>
      <w:r w:rsidRPr="00420873">
        <w:rPr>
          <w:rFonts w:eastAsia="Arial" w:cstheme="minorHAnsi"/>
          <w:i/>
          <w:iCs/>
        </w:rPr>
        <w:t>the</w:t>
      </w:r>
      <w:r w:rsidRPr="00420873">
        <w:rPr>
          <w:rFonts w:cstheme="minorHAnsi"/>
          <w:i/>
          <w:iCs/>
          <w:spacing w:val="2"/>
        </w:rPr>
        <w:t xml:space="preserve"> </w:t>
      </w:r>
      <w:r w:rsidRPr="00420873">
        <w:rPr>
          <w:rFonts w:eastAsia="Arial" w:cstheme="minorHAnsi"/>
          <w:i/>
          <w:iCs/>
        </w:rPr>
        <w:t>minimum</w:t>
      </w:r>
      <w:r w:rsidRPr="00420873">
        <w:rPr>
          <w:rFonts w:cstheme="minorHAnsi"/>
          <w:i/>
          <w:iCs/>
          <w:spacing w:val="-2"/>
        </w:rPr>
        <w:t xml:space="preserve"> </w:t>
      </w:r>
      <w:r w:rsidRPr="00420873">
        <w:rPr>
          <w:rFonts w:eastAsia="Arial" w:cstheme="minorHAnsi"/>
          <w:i/>
          <w:iCs/>
        </w:rPr>
        <w:t>capital</w:t>
      </w:r>
      <w:r w:rsidRPr="00420873">
        <w:rPr>
          <w:rFonts w:cstheme="minorHAnsi"/>
          <w:i/>
          <w:iCs/>
        </w:rPr>
        <w:t xml:space="preserve"> </w:t>
      </w:r>
      <w:r w:rsidRPr="00420873">
        <w:rPr>
          <w:rFonts w:eastAsia="Arial" w:cstheme="minorHAnsi"/>
          <w:i/>
          <w:iCs/>
        </w:rPr>
        <w:t>ratio</w:t>
      </w:r>
      <w:r w:rsidRPr="00420873">
        <w:rPr>
          <w:rFonts w:cstheme="minorHAnsi"/>
          <w:i/>
          <w:iCs/>
          <w:spacing w:val="1"/>
        </w:rPr>
        <w:t xml:space="preserve"> </w:t>
      </w:r>
      <w:r w:rsidRPr="00420873">
        <w:rPr>
          <w:rFonts w:eastAsia="Arial" w:cstheme="minorHAnsi"/>
          <w:i/>
          <w:iCs/>
        </w:rPr>
        <w:t>from</w:t>
      </w:r>
      <w:r w:rsidRPr="00420873">
        <w:rPr>
          <w:rFonts w:cstheme="minorHAnsi"/>
          <w:i/>
          <w:iCs/>
          <w:spacing w:val="1"/>
        </w:rPr>
        <w:t xml:space="preserve"> </w:t>
      </w:r>
      <w:r w:rsidRPr="00420873">
        <w:rPr>
          <w:rFonts w:eastAsia="Arial" w:cstheme="minorHAnsi"/>
          <w:i/>
          <w:iCs/>
        </w:rPr>
        <w:t>its</w:t>
      </w:r>
      <w:r w:rsidRPr="00420873">
        <w:rPr>
          <w:rFonts w:cstheme="minorHAnsi"/>
          <w:i/>
          <w:iCs/>
          <w:spacing w:val="3"/>
        </w:rPr>
        <w:t xml:space="preserve"> </w:t>
      </w:r>
      <w:r w:rsidRPr="00420873">
        <w:rPr>
          <w:rFonts w:eastAsia="Arial" w:cstheme="minorHAnsi"/>
          <w:i/>
          <w:iCs/>
        </w:rPr>
        <w:t>capital</w:t>
      </w:r>
      <w:r w:rsidRPr="00420873">
        <w:rPr>
          <w:rFonts w:cstheme="minorHAnsi"/>
          <w:i/>
          <w:iCs/>
        </w:rPr>
        <w:t xml:space="preserve"> </w:t>
      </w:r>
      <w:r w:rsidRPr="00420873">
        <w:rPr>
          <w:rFonts w:eastAsia="Arial" w:cstheme="minorHAnsi"/>
          <w:i/>
          <w:iCs/>
        </w:rPr>
        <w:t>rati</w:t>
      </w:r>
      <w:r w:rsidRPr="00420873">
        <w:rPr>
          <w:rFonts w:eastAsia="Arial" w:cstheme="minorHAnsi"/>
          <w:i/>
          <w:iCs/>
          <w:spacing w:val="15"/>
        </w:rPr>
        <w:t>o</w:t>
      </w:r>
      <w:r w:rsidRPr="00420873">
        <w:rPr>
          <w:rFonts w:eastAsia="Arial" w:cstheme="minorHAnsi"/>
          <w:i/>
          <w:iCs/>
        </w:rPr>
        <w:t>.</w:t>
      </w:r>
      <w:r w:rsidRPr="00A13AB6">
        <w:rPr>
          <w:rFonts w:cstheme="minorHAnsi"/>
          <w:spacing w:val="1"/>
        </w:rPr>
        <w:t xml:space="preserve"> </w:t>
      </w:r>
    </w:p>
    <w:p w14:paraId="62448CC0" w14:textId="77777777" w:rsidR="00A13AB6" w:rsidRPr="00A13AB6" w:rsidRDefault="00A13AB6" w:rsidP="00A13AB6">
      <w:pPr>
        <w:spacing w:after="0"/>
        <w:ind w:right="810"/>
        <w:rPr>
          <w:rFonts w:cstheme="minorHAnsi"/>
        </w:rPr>
      </w:pPr>
    </w:p>
    <w:p w14:paraId="7AD889D2" w14:textId="47052DD9" w:rsidR="00A13AB6" w:rsidRPr="00420873" w:rsidRDefault="00A13AB6" w:rsidP="00A13AB6">
      <w:pPr>
        <w:spacing w:after="0"/>
        <w:ind w:right="810"/>
        <w:rPr>
          <w:rFonts w:eastAsia="Arial" w:cstheme="minorHAnsi"/>
          <w:i/>
          <w:iCs/>
        </w:rPr>
      </w:pPr>
      <w:r w:rsidRPr="00420873">
        <w:rPr>
          <w:rFonts w:eastAsia="Arial" w:cstheme="minorHAnsi"/>
          <w:i/>
          <w:iCs/>
        </w:rPr>
        <w:t>Risk</w:t>
      </w:r>
      <w:r w:rsidRPr="00420873">
        <w:rPr>
          <w:rFonts w:cstheme="minorHAnsi"/>
          <w:i/>
          <w:iCs/>
          <w:spacing w:val="-2"/>
        </w:rPr>
        <w:t xml:space="preserve"> </w:t>
      </w:r>
      <w:r w:rsidRPr="00420873">
        <w:rPr>
          <w:rFonts w:eastAsia="Arial" w:cstheme="minorHAnsi"/>
          <w:i/>
          <w:iCs/>
          <w:spacing w:val="-19"/>
        </w:rPr>
        <w:t>T</w:t>
      </w:r>
      <w:r w:rsidRPr="00420873">
        <w:rPr>
          <w:rFonts w:eastAsia="Arial" w:cstheme="minorHAnsi"/>
          <w:i/>
          <w:iCs/>
        </w:rPr>
        <w:t>olerance</w:t>
      </w:r>
      <w:r w:rsidRPr="00420873">
        <w:rPr>
          <w:rFonts w:cstheme="minorHAnsi"/>
          <w:i/>
          <w:iCs/>
          <w:spacing w:val="-3"/>
        </w:rPr>
        <w:t xml:space="preserve"> </w:t>
      </w:r>
      <w:r w:rsidRPr="00420873">
        <w:rPr>
          <w:rFonts w:eastAsia="Arial" w:cstheme="minorHAnsi"/>
          <w:i/>
          <w:iCs/>
        </w:rPr>
        <w:t>tells</w:t>
      </w:r>
      <w:r w:rsidRPr="00420873">
        <w:rPr>
          <w:rFonts w:cstheme="minorHAnsi"/>
          <w:i/>
          <w:iCs/>
          <w:spacing w:val="2"/>
        </w:rPr>
        <w:t xml:space="preserve"> </w:t>
      </w:r>
      <w:r w:rsidRPr="00420873">
        <w:rPr>
          <w:rFonts w:eastAsia="Arial" w:cstheme="minorHAnsi"/>
          <w:i/>
          <w:iCs/>
        </w:rPr>
        <w:t>us</w:t>
      </w:r>
      <w:r w:rsidRPr="00420873">
        <w:rPr>
          <w:rFonts w:cstheme="minorHAnsi"/>
          <w:i/>
          <w:iCs/>
          <w:spacing w:val="3"/>
        </w:rPr>
        <w:t xml:space="preserve"> </w:t>
      </w:r>
      <w:r w:rsidRPr="00420873">
        <w:rPr>
          <w:rFonts w:eastAsia="Arial" w:cstheme="minorHAnsi"/>
          <w:i/>
          <w:iCs/>
        </w:rPr>
        <w:t>how</w:t>
      </w:r>
      <w:r w:rsidRPr="00420873">
        <w:rPr>
          <w:rFonts w:cstheme="minorHAnsi"/>
          <w:i/>
          <w:iCs/>
          <w:spacing w:val="2"/>
        </w:rPr>
        <w:t xml:space="preserve"> </w:t>
      </w:r>
      <w:r w:rsidRPr="00420873">
        <w:rPr>
          <w:rFonts w:eastAsia="Arial" w:cstheme="minorHAnsi"/>
          <w:i/>
          <w:iCs/>
        </w:rPr>
        <w:t>much</w:t>
      </w:r>
      <w:r w:rsidRPr="00420873">
        <w:rPr>
          <w:rFonts w:cstheme="minorHAnsi"/>
          <w:i/>
          <w:iCs/>
          <w:spacing w:val="1"/>
        </w:rPr>
        <w:t xml:space="preserve"> </w:t>
      </w:r>
      <w:r w:rsidRPr="00420873">
        <w:rPr>
          <w:rFonts w:eastAsia="Arial" w:cstheme="minorHAnsi"/>
          <w:i/>
          <w:iCs/>
        </w:rPr>
        <w:t>the</w:t>
      </w:r>
      <w:r w:rsidRPr="00420873">
        <w:rPr>
          <w:rFonts w:cstheme="minorHAnsi"/>
          <w:i/>
          <w:iCs/>
          <w:spacing w:val="2"/>
        </w:rPr>
        <w:t xml:space="preserve"> </w:t>
      </w:r>
      <w:r w:rsidRPr="00420873">
        <w:rPr>
          <w:rFonts w:eastAsia="Arial" w:cstheme="minorHAnsi"/>
          <w:i/>
          <w:iCs/>
        </w:rPr>
        <w:t>net</w:t>
      </w:r>
      <w:r w:rsidRPr="00420873">
        <w:rPr>
          <w:rFonts w:cstheme="minorHAnsi"/>
          <w:i/>
          <w:iCs/>
          <w:spacing w:val="2"/>
        </w:rPr>
        <w:t xml:space="preserve"> </w:t>
      </w:r>
      <w:r w:rsidRPr="00420873">
        <w:rPr>
          <w:rFonts w:eastAsia="Arial" w:cstheme="minorHAnsi"/>
          <w:i/>
          <w:iCs/>
        </w:rPr>
        <w:t>interest</w:t>
      </w:r>
      <w:r w:rsidRPr="00420873">
        <w:rPr>
          <w:rFonts w:cstheme="minorHAnsi"/>
          <w:i/>
          <w:iCs/>
          <w:spacing w:val="-1"/>
        </w:rPr>
        <w:t xml:space="preserve"> </w:t>
      </w:r>
      <w:r w:rsidRPr="00420873">
        <w:rPr>
          <w:rFonts w:eastAsia="Arial" w:cstheme="minorHAnsi"/>
          <w:i/>
          <w:iCs/>
        </w:rPr>
        <w:t>margin</w:t>
      </w:r>
      <w:r w:rsidRPr="00420873">
        <w:rPr>
          <w:rFonts w:cstheme="minorHAnsi"/>
          <w:i/>
          <w:iCs/>
        </w:rPr>
        <w:t xml:space="preserve"> </w:t>
      </w:r>
      <w:r w:rsidRPr="00420873">
        <w:rPr>
          <w:rFonts w:eastAsia="Arial" w:cstheme="minorHAnsi"/>
          <w:i/>
          <w:iCs/>
        </w:rPr>
        <w:t>could</w:t>
      </w:r>
      <w:r w:rsidRPr="00420873">
        <w:rPr>
          <w:rFonts w:cstheme="minorHAnsi"/>
          <w:i/>
          <w:iCs/>
          <w:spacing w:val="1"/>
        </w:rPr>
        <w:t xml:space="preserve"> </w:t>
      </w:r>
      <w:r w:rsidRPr="00420873">
        <w:rPr>
          <w:rFonts w:eastAsia="Arial" w:cstheme="minorHAnsi"/>
          <w:i/>
          <w:iCs/>
        </w:rPr>
        <w:t>change</w:t>
      </w:r>
      <w:r w:rsidRPr="00420873">
        <w:rPr>
          <w:rFonts w:cstheme="minorHAnsi"/>
          <w:i/>
          <w:iCs/>
          <w:spacing w:val="-1"/>
        </w:rPr>
        <w:t xml:space="preserve"> </w:t>
      </w:r>
      <w:r w:rsidRPr="00420873">
        <w:rPr>
          <w:rFonts w:eastAsia="Arial" w:cstheme="minorHAnsi"/>
          <w:i/>
          <w:iCs/>
        </w:rPr>
        <w:t>before</w:t>
      </w:r>
      <w:r w:rsidRPr="00420873">
        <w:rPr>
          <w:rFonts w:cstheme="minorHAnsi"/>
          <w:i/>
          <w:iCs/>
        </w:rPr>
        <w:t xml:space="preserve"> </w:t>
      </w:r>
      <w:r w:rsidRPr="00420873">
        <w:rPr>
          <w:rFonts w:eastAsia="Arial" w:cstheme="minorHAnsi"/>
          <w:i/>
          <w:iCs/>
        </w:rPr>
        <w:t>the</w:t>
      </w:r>
      <w:r w:rsidRPr="00420873">
        <w:rPr>
          <w:rFonts w:cstheme="minorHAnsi"/>
          <w:i/>
          <w:iCs/>
          <w:spacing w:val="2"/>
        </w:rPr>
        <w:t xml:space="preserve"> </w:t>
      </w:r>
      <w:r w:rsidRPr="00420873">
        <w:rPr>
          <w:rFonts w:eastAsia="Arial" w:cstheme="minorHAnsi"/>
          <w:i/>
          <w:iCs/>
        </w:rPr>
        <w:t>bank</w:t>
      </w:r>
      <w:r w:rsidRPr="00420873">
        <w:rPr>
          <w:rFonts w:eastAsia="Arial" w:cstheme="minorHAnsi"/>
          <w:i/>
          <w:iCs/>
          <w:spacing w:val="-3"/>
        </w:rPr>
        <w:t>’</w:t>
      </w:r>
      <w:r w:rsidRPr="00420873">
        <w:rPr>
          <w:rFonts w:eastAsia="Arial" w:cstheme="minorHAnsi"/>
          <w:i/>
          <w:iCs/>
        </w:rPr>
        <w:t>s</w:t>
      </w:r>
      <w:r w:rsidRPr="00420873">
        <w:rPr>
          <w:rFonts w:cstheme="minorHAnsi"/>
          <w:i/>
          <w:iCs/>
        </w:rPr>
        <w:t xml:space="preserve"> </w:t>
      </w:r>
      <w:r w:rsidRPr="00420873">
        <w:rPr>
          <w:rFonts w:eastAsia="Arial" w:cstheme="minorHAnsi"/>
          <w:i/>
          <w:iCs/>
        </w:rPr>
        <w:t>capital</w:t>
      </w:r>
      <w:r w:rsidRPr="00420873">
        <w:rPr>
          <w:rFonts w:cstheme="minorHAnsi"/>
          <w:i/>
          <w:iCs/>
        </w:rPr>
        <w:t xml:space="preserve"> </w:t>
      </w:r>
      <w:r w:rsidR="00420873" w:rsidRPr="00420873">
        <w:rPr>
          <w:rFonts w:eastAsia="Arial" w:cstheme="minorHAnsi"/>
          <w:i/>
          <w:iCs/>
        </w:rPr>
        <w:t>falls</w:t>
      </w:r>
      <w:r w:rsidRPr="00420873">
        <w:rPr>
          <w:rFonts w:cstheme="minorHAnsi"/>
          <w:i/>
          <w:iCs/>
          <w:spacing w:val="3"/>
        </w:rPr>
        <w:t xml:space="preserve"> </w:t>
      </w:r>
      <w:r w:rsidRPr="00420873">
        <w:rPr>
          <w:rFonts w:eastAsia="Arial" w:cstheme="minorHAnsi"/>
          <w:i/>
          <w:iCs/>
        </w:rPr>
        <w:t>below</w:t>
      </w:r>
      <w:r w:rsidRPr="00420873">
        <w:rPr>
          <w:rFonts w:cstheme="minorHAnsi"/>
          <w:i/>
          <w:iCs/>
        </w:rPr>
        <w:t xml:space="preserve"> </w:t>
      </w:r>
      <w:r w:rsidRPr="00420873">
        <w:rPr>
          <w:rFonts w:eastAsia="Arial" w:cstheme="minorHAnsi"/>
          <w:i/>
          <w:iCs/>
        </w:rPr>
        <w:t>the</w:t>
      </w:r>
      <w:r w:rsidRPr="00420873">
        <w:rPr>
          <w:rFonts w:cstheme="minorHAnsi"/>
          <w:i/>
          <w:iCs/>
          <w:spacing w:val="2"/>
        </w:rPr>
        <w:t xml:space="preserve"> </w:t>
      </w:r>
      <w:r w:rsidRPr="00420873">
        <w:rPr>
          <w:rFonts w:eastAsia="Arial" w:cstheme="minorHAnsi"/>
          <w:i/>
          <w:iCs/>
        </w:rPr>
        <w:t>current</w:t>
      </w:r>
      <w:r w:rsidRPr="00420873">
        <w:rPr>
          <w:rFonts w:cstheme="minorHAnsi"/>
          <w:i/>
          <w:iCs/>
          <w:spacing w:val="-1"/>
        </w:rPr>
        <w:t xml:space="preserve"> </w:t>
      </w:r>
      <w:r w:rsidRPr="00420873">
        <w:rPr>
          <w:rFonts w:eastAsia="Arial" w:cstheme="minorHAnsi"/>
          <w:i/>
          <w:iCs/>
        </w:rPr>
        <w:t>or</w:t>
      </w:r>
      <w:r w:rsidRPr="00420873">
        <w:rPr>
          <w:rFonts w:cstheme="minorHAnsi"/>
          <w:i/>
          <w:iCs/>
        </w:rPr>
        <w:t xml:space="preserve"> </w:t>
      </w:r>
      <w:r w:rsidRPr="00420873">
        <w:rPr>
          <w:rFonts w:eastAsia="Arial" w:cstheme="minorHAnsi"/>
          <w:i/>
          <w:iCs/>
        </w:rPr>
        <w:t>minimum</w:t>
      </w:r>
      <w:r w:rsidRPr="00420873">
        <w:rPr>
          <w:rFonts w:cstheme="minorHAnsi"/>
          <w:i/>
          <w:iCs/>
          <w:spacing w:val="-2"/>
        </w:rPr>
        <w:t xml:space="preserve"> </w:t>
      </w:r>
      <w:r w:rsidRPr="00420873">
        <w:rPr>
          <w:rFonts w:eastAsia="Arial" w:cstheme="minorHAnsi"/>
          <w:i/>
          <w:iCs/>
        </w:rPr>
        <w:t>amount</w:t>
      </w:r>
      <w:r w:rsidRPr="00420873">
        <w:rPr>
          <w:rFonts w:cstheme="minorHAnsi"/>
          <w:i/>
          <w:iCs/>
          <w:spacing w:val="-1"/>
        </w:rPr>
        <w:t xml:space="preserve"> </w:t>
      </w:r>
      <w:r w:rsidRPr="00420873">
        <w:rPr>
          <w:rFonts w:eastAsia="Arial" w:cstheme="minorHAnsi"/>
          <w:i/>
          <w:iCs/>
        </w:rPr>
        <w:t>due</w:t>
      </w:r>
      <w:r w:rsidRPr="00420873">
        <w:rPr>
          <w:rFonts w:cstheme="minorHAnsi"/>
          <w:i/>
          <w:iCs/>
          <w:spacing w:val="2"/>
        </w:rPr>
        <w:t xml:space="preserve"> </w:t>
      </w:r>
      <w:r w:rsidRPr="00420873">
        <w:rPr>
          <w:rFonts w:eastAsia="Arial" w:cstheme="minorHAnsi"/>
          <w:i/>
          <w:iCs/>
        </w:rPr>
        <w:t>to</w:t>
      </w:r>
      <w:r w:rsidRPr="00420873">
        <w:rPr>
          <w:rFonts w:cstheme="minorHAnsi"/>
          <w:i/>
          <w:iCs/>
          <w:spacing w:val="3"/>
        </w:rPr>
        <w:t xml:space="preserve"> </w:t>
      </w:r>
      <w:r w:rsidRPr="00420873">
        <w:rPr>
          <w:rFonts w:eastAsia="Arial" w:cstheme="minorHAnsi"/>
          <w:i/>
          <w:iCs/>
        </w:rPr>
        <w:t>insu</w:t>
      </w:r>
      <w:r w:rsidRPr="00420873">
        <w:rPr>
          <w:rFonts w:eastAsia="Arial" w:cstheme="minorHAnsi"/>
          <w:i/>
          <w:iCs/>
          <w:spacing w:val="-3"/>
        </w:rPr>
        <w:t>f</w:t>
      </w:r>
      <w:r w:rsidRPr="00420873">
        <w:rPr>
          <w:rFonts w:eastAsia="Arial" w:cstheme="minorHAnsi"/>
          <w:i/>
          <w:iCs/>
        </w:rPr>
        <w:t>ficient</w:t>
      </w:r>
      <w:r w:rsidRPr="00420873">
        <w:rPr>
          <w:rFonts w:cstheme="minorHAnsi"/>
          <w:i/>
          <w:iCs/>
          <w:spacing w:val="-3"/>
        </w:rPr>
        <w:t xml:space="preserve"> </w:t>
      </w:r>
      <w:r w:rsidRPr="00420873">
        <w:rPr>
          <w:rFonts w:eastAsia="Arial" w:cstheme="minorHAnsi"/>
          <w:i/>
          <w:iCs/>
        </w:rPr>
        <w:t>capital</w:t>
      </w:r>
      <w:r w:rsidRPr="00420873">
        <w:rPr>
          <w:rFonts w:cstheme="minorHAnsi"/>
          <w:i/>
          <w:iCs/>
        </w:rPr>
        <w:t xml:space="preserve"> </w:t>
      </w:r>
      <w:r w:rsidRPr="00420873">
        <w:rPr>
          <w:rFonts w:eastAsia="Arial" w:cstheme="minorHAnsi"/>
          <w:i/>
          <w:iCs/>
        </w:rPr>
        <w:t>formation</w:t>
      </w:r>
      <w:r w:rsidRPr="00420873">
        <w:rPr>
          <w:rFonts w:cstheme="minorHAnsi"/>
          <w:i/>
          <w:iCs/>
          <w:spacing w:val="-2"/>
        </w:rPr>
        <w:t xml:space="preserve"> </w:t>
      </w:r>
      <w:r w:rsidRPr="00420873">
        <w:rPr>
          <w:rFonts w:eastAsia="Arial" w:cstheme="minorHAnsi"/>
          <w:i/>
          <w:iCs/>
        </w:rPr>
        <w:t>from</w:t>
      </w:r>
      <w:r w:rsidRPr="00420873">
        <w:rPr>
          <w:rFonts w:cstheme="minorHAnsi"/>
          <w:i/>
          <w:iCs/>
          <w:spacing w:val="1"/>
        </w:rPr>
        <w:t xml:space="preserve"> </w:t>
      </w:r>
      <w:r w:rsidRPr="00420873">
        <w:rPr>
          <w:rFonts w:eastAsia="Arial" w:cstheme="minorHAnsi"/>
          <w:i/>
          <w:iCs/>
          <w:w w:val="99"/>
        </w:rPr>
        <w:t>earnings</w:t>
      </w:r>
      <w:r w:rsidRPr="00420873">
        <w:rPr>
          <w:rFonts w:eastAsia="Arial" w:cstheme="minorHAnsi"/>
          <w:i/>
          <w:iCs/>
        </w:rPr>
        <w:t>.</w:t>
      </w:r>
      <w:r w:rsidRPr="00A13AB6">
        <w:rPr>
          <w:rFonts w:cstheme="minorHAnsi"/>
          <w:spacing w:val="4"/>
        </w:rPr>
        <w:t xml:space="preserve"> </w:t>
      </w:r>
      <w:r w:rsidRPr="00420873">
        <w:rPr>
          <w:rFonts w:eastAsia="Arial" w:cstheme="minorHAnsi"/>
          <w:i/>
          <w:iCs/>
        </w:rPr>
        <w:t>A</w:t>
      </w:r>
      <w:r w:rsidRPr="00420873">
        <w:rPr>
          <w:rFonts w:cstheme="minorHAnsi"/>
          <w:i/>
          <w:iCs/>
          <w:spacing w:val="-5"/>
        </w:rPr>
        <w:t xml:space="preserve"> </w:t>
      </w:r>
      <w:r w:rsidRPr="00420873">
        <w:rPr>
          <w:rFonts w:eastAsia="Arial" w:cstheme="minorHAnsi"/>
          <w:i/>
          <w:iCs/>
        </w:rPr>
        <w:t>positive</w:t>
      </w:r>
      <w:r w:rsidRPr="00420873">
        <w:rPr>
          <w:rFonts w:cstheme="minorHAnsi"/>
          <w:i/>
          <w:iCs/>
          <w:spacing w:val="-1"/>
        </w:rPr>
        <w:t xml:space="preserve"> </w:t>
      </w:r>
      <w:r w:rsidRPr="00420873">
        <w:rPr>
          <w:rFonts w:eastAsia="Arial" w:cstheme="minorHAnsi"/>
          <w:i/>
          <w:iCs/>
        </w:rPr>
        <w:t>value</w:t>
      </w:r>
      <w:r w:rsidRPr="00420873">
        <w:rPr>
          <w:rFonts w:cstheme="minorHAnsi"/>
          <w:i/>
          <w:iCs/>
          <w:spacing w:val="1"/>
        </w:rPr>
        <w:t xml:space="preserve"> </w:t>
      </w:r>
      <w:r w:rsidRPr="00420873">
        <w:rPr>
          <w:rFonts w:eastAsia="Arial" w:cstheme="minorHAnsi"/>
          <w:i/>
          <w:iCs/>
        </w:rPr>
        <w:t>indicates</w:t>
      </w:r>
      <w:r w:rsidRPr="00420873">
        <w:rPr>
          <w:rFonts w:cstheme="minorHAnsi"/>
          <w:i/>
          <w:iCs/>
          <w:spacing w:val="-2"/>
        </w:rPr>
        <w:t xml:space="preserve"> </w:t>
      </w:r>
      <w:r w:rsidRPr="00420873">
        <w:rPr>
          <w:rFonts w:eastAsia="Arial" w:cstheme="minorHAnsi"/>
          <w:i/>
          <w:iCs/>
        </w:rPr>
        <w:t>the</w:t>
      </w:r>
      <w:r w:rsidRPr="00420873">
        <w:rPr>
          <w:rFonts w:cstheme="minorHAnsi"/>
          <w:i/>
          <w:iCs/>
          <w:spacing w:val="2"/>
        </w:rPr>
        <w:t xml:space="preserve"> </w:t>
      </w:r>
      <w:r w:rsidRPr="00420873">
        <w:rPr>
          <w:rFonts w:eastAsia="Arial" w:cstheme="minorHAnsi"/>
          <w:i/>
          <w:iCs/>
        </w:rPr>
        <w:t>bank</w:t>
      </w:r>
      <w:r w:rsidRPr="00420873">
        <w:rPr>
          <w:rFonts w:cstheme="minorHAnsi"/>
          <w:i/>
          <w:iCs/>
          <w:spacing w:val="1"/>
        </w:rPr>
        <w:t xml:space="preserve"> </w:t>
      </w:r>
      <w:r w:rsidR="00420873" w:rsidRPr="00420873">
        <w:rPr>
          <w:rFonts w:eastAsia="Arial" w:cstheme="minorHAnsi"/>
          <w:i/>
          <w:iCs/>
        </w:rPr>
        <w:t>can</w:t>
      </w:r>
      <w:r w:rsidRPr="00420873">
        <w:rPr>
          <w:rFonts w:cstheme="minorHAnsi"/>
          <w:i/>
          <w:iCs/>
          <w:spacing w:val="3"/>
        </w:rPr>
        <w:t xml:space="preserve"> </w:t>
      </w:r>
      <w:r w:rsidRPr="00420873">
        <w:rPr>
          <w:rFonts w:eastAsia="Arial" w:cstheme="minorHAnsi"/>
          <w:i/>
          <w:iCs/>
        </w:rPr>
        <w:t>absorb</w:t>
      </w:r>
      <w:r w:rsidRPr="00420873">
        <w:rPr>
          <w:rFonts w:cstheme="minorHAnsi"/>
          <w:i/>
          <w:iCs/>
        </w:rPr>
        <w:t xml:space="preserve"> </w:t>
      </w:r>
      <w:r w:rsidRPr="00420873">
        <w:rPr>
          <w:rFonts w:eastAsia="Arial" w:cstheme="minorHAnsi"/>
          <w:i/>
          <w:iCs/>
        </w:rPr>
        <w:t>adverse</w:t>
      </w:r>
      <w:r w:rsidRPr="00420873">
        <w:rPr>
          <w:rFonts w:cstheme="minorHAnsi"/>
          <w:i/>
          <w:iCs/>
          <w:spacing w:val="-1"/>
        </w:rPr>
        <w:t xml:space="preserve"> </w:t>
      </w:r>
      <w:r w:rsidRPr="00420873">
        <w:rPr>
          <w:rFonts w:eastAsia="Arial" w:cstheme="minorHAnsi"/>
          <w:i/>
          <w:iCs/>
        </w:rPr>
        <w:t>rate</w:t>
      </w:r>
      <w:r w:rsidRPr="00420873">
        <w:rPr>
          <w:rFonts w:cstheme="minorHAnsi"/>
          <w:i/>
          <w:iCs/>
          <w:spacing w:val="2"/>
        </w:rPr>
        <w:t xml:space="preserve"> </w:t>
      </w:r>
      <w:r w:rsidRPr="00420873">
        <w:rPr>
          <w:rFonts w:eastAsia="Arial" w:cstheme="minorHAnsi"/>
          <w:i/>
          <w:iCs/>
        </w:rPr>
        <w:t>changes</w:t>
      </w:r>
      <w:r w:rsidRPr="00420873">
        <w:rPr>
          <w:rFonts w:cstheme="minorHAnsi"/>
          <w:i/>
          <w:iCs/>
          <w:spacing w:val="-2"/>
        </w:rPr>
        <w:t xml:space="preserve"> </w:t>
      </w:r>
      <w:r w:rsidRPr="00420873">
        <w:rPr>
          <w:rFonts w:eastAsia="Arial" w:cstheme="minorHAnsi"/>
          <w:i/>
          <w:iCs/>
        </w:rPr>
        <w:t>in</w:t>
      </w:r>
      <w:r w:rsidRPr="00420873">
        <w:rPr>
          <w:rFonts w:cstheme="minorHAnsi"/>
          <w:i/>
          <w:iCs/>
          <w:spacing w:val="4"/>
        </w:rPr>
        <w:t xml:space="preserve"> </w:t>
      </w:r>
      <w:r w:rsidRPr="00420873">
        <w:rPr>
          <w:rFonts w:eastAsia="Arial" w:cstheme="minorHAnsi"/>
          <w:i/>
          <w:iCs/>
        </w:rPr>
        <w:t>the</w:t>
      </w:r>
      <w:r w:rsidRPr="00420873">
        <w:rPr>
          <w:rFonts w:cstheme="minorHAnsi"/>
          <w:i/>
          <w:iCs/>
          <w:spacing w:val="2"/>
        </w:rPr>
        <w:t xml:space="preserve"> </w:t>
      </w:r>
      <w:r w:rsidRPr="00420873">
        <w:rPr>
          <w:rFonts w:eastAsia="Arial" w:cstheme="minorHAnsi"/>
          <w:i/>
          <w:iCs/>
        </w:rPr>
        <w:t>net</w:t>
      </w:r>
      <w:r w:rsidRPr="00420873">
        <w:rPr>
          <w:rFonts w:cstheme="minorHAnsi"/>
          <w:i/>
          <w:iCs/>
          <w:spacing w:val="2"/>
        </w:rPr>
        <w:t xml:space="preserve"> </w:t>
      </w:r>
      <w:r w:rsidRPr="00420873">
        <w:rPr>
          <w:rFonts w:eastAsia="Arial" w:cstheme="minorHAnsi"/>
          <w:i/>
          <w:iCs/>
        </w:rPr>
        <w:t>interest</w:t>
      </w:r>
      <w:r w:rsidRPr="00420873">
        <w:rPr>
          <w:rFonts w:cstheme="minorHAnsi"/>
          <w:i/>
          <w:iCs/>
          <w:spacing w:val="-1"/>
        </w:rPr>
        <w:t xml:space="preserve"> </w:t>
      </w:r>
      <w:r w:rsidRPr="00420873">
        <w:rPr>
          <w:rFonts w:eastAsia="Arial" w:cstheme="minorHAnsi"/>
          <w:i/>
          <w:iCs/>
        </w:rPr>
        <w:t>margin.</w:t>
      </w:r>
      <w:r w:rsidRPr="00420873">
        <w:rPr>
          <w:rFonts w:cstheme="minorHAnsi"/>
          <w:i/>
          <w:iCs/>
          <w:spacing w:val="-1"/>
        </w:rPr>
        <w:t xml:space="preserve"> </w:t>
      </w:r>
      <w:r w:rsidR="00420873" w:rsidRPr="00420873">
        <w:rPr>
          <w:rFonts w:eastAsia="Arial" w:cstheme="minorHAnsi"/>
          <w:i/>
          <w:iCs/>
        </w:rPr>
        <w:t>A</w:t>
      </w:r>
      <w:r w:rsidRPr="00420873">
        <w:rPr>
          <w:rFonts w:cstheme="minorHAnsi"/>
          <w:i/>
          <w:iCs/>
          <w:spacing w:val="4"/>
        </w:rPr>
        <w:t xml:space="preserve"> </w:t>
      </w:r>
      <w:r w:rsidRPr="00420873">
        <w:rPr>
          <w:rFonts w:eastAsia="Arial" w:cstheme="minorHAnsi"/>
          <w:i/>
          <w:iCs/>
        </w:rPr>
        <w:t>negative</w:t>
      </w:r>
      <w:r w:rsidRPr="00420873">
        <w:rPr>
          <w:rFonts w:cstheme="minorHAnsi"/>
          <w:i/>
          <w:iCs/>
          <w:spacing w:val="-2"/>
        </w:rPr>
        <w:t xml:space="preserve"> </w:t>
      </w:r>
      <w:r w:rsidRPr="00420873">
        <w:rPr>
          <w:rFonts w:eastAsia="Arial" w:cstheme="minorHAnsi"/>
          <w:i/>
          <w:iCs/>
        </w:rPr>
        <w:t>Risk</w:t>
      </w:r>
      <w:r w:rsidRPr="00420873">
        <w:rPr>
          <w:rFonts w:cstheme="minorHAnsi"/>
          <w:i/>
          <w:iCs/>
          <w:spacing w:val="-2"/>
        </w:rPr>
        <w:t xml:space="preserve"> </w:t>
      </w:r>
      <w:r w:rsidRPr="00420873">
        <w:rPr>
          <w:rFonts w:eastAsia="Arial" w:cstheme="minorHAnsi"/>
          <w:i/>
          <w:iCs/>
          <w:spacing w:val="-19"/>
        </w:rPr>
        <w:t>T</w:t>
      </w:r>
      <w:r w:rsidRPr="00420873">
        <w:rPr>
          <w:rFonts w:eastAsia="Arial" w:cstheme="minorHAnsi"/>
          <w:i/>
          <w:iCs/>
        </w:rPr>
        <w:t>olerance</w:t>
      </w:r>
      <w:r w:rsidRPr="00420873">
        <w:rPr>
          <w:rFonts w:cstheme="minorHAnsi"/>
          <w:i/>
          <w:iCs/>
          <w:spacing w:val="-3"/>
        </w:rPr>
        <w:t xml:space="preserve"> </w:t>
      </w:r>
      <w:r w:rsidRPr="00420873">
        <w:rPr>
          <w:rFonts w:eastAsia="Arial" w:cstheme="minorHAnsi"/>
          <w:i/>
          <w:iCs/>
        </w:rPr>
        <w:t>indicates</w:t>
      </w:r>
      <w:r w:rsidRPr="00420873">
        <w:rPr>
          <w:rFonts w:cstheme="minorHAnsi"/>
          <w:i/>
          <w:iCs/>
          <w:spacing w:val="-2"/>
        </w:rPr>
        <w:t xml:space="preserve"> </w:t>
      </w:r>
      <w:r w:rsidRPr="00420873">
        <w:rPr>
          <w:rFonts w:eastAsia="Arial" w:cstheme="minorHAnsi"/>
          <w:i/>
          <w:iCs/>
        </w:rPr>
        <w:t>the</w:t>
      </w:r>
      <w:r w:rsidRPr="00420873">
        <w:rPr>
          <w:rFonts w:cstheme="minorHAnsi"/>
          <w:i/>
          <w:iCs/>
          <w:spacing w:val="2"/>
        </w:rPr>
        <w:t xml:space="preserve"> </w:t>
      </w:r>
      <w:r w:rsidRPr="00420873">
        <w:rPr>
          <w:rFonts w:eastAsia="Arial" w:cstheme="minorHAnsi"/>
          <w:i/>
          <w:iCs/>
        </w:rPr>
        <w:t>capital</w:t>
      </w:r>
      <w:r w:rsidRPr="00420873">
        <w:rPr>
          <w:rFonts w:cstheme="minorHAnsi"/>
          <w:i/>
          <w:iCs/>
        </w:rPr>
        <w:t xml:space="preserve"> </w:t>
      </w:r>
      <w:r w:rsidRPr="00420873">
        <w:rPr>
          <w:rFonts w:eastAsia="Arial" w:cstheme="minorHAnsi"/>
          <w:i/>
          <w:iCs/>
        </w:rPr>
        <w:t>ratio</w:t>
      </w:r>
      <w:r w:rsidRPr="00420873">
        <w:rPr>
          <w:rFonts w:cstheme="minorHAnsi"/>
          <w:i/>
          <w:iCs/>
          <w:spacing w:val="1"/>
        </w:rPr>
        <w:t xml:space="preserve"> </w:t>
      </w:r>
      <w:r w:rsidRPr="00420873">
        <w:rPr>
          <w:rFonts w:eastAsia="Arial" w:cstheme="minorHAnsi"/>
          <w:i/>
          <w:iCs/>
        </w:rPr>
        <w:t>will</w:t>
      </w:r>
      <w:r w:rsidRPr="00420873">
        <w:rPr>
          <w:rFonts w:cstheme="minorHAnsi"/>
          <w:i/>
          <w:iCs/>
          <w:spacing w:val="3"/>
        </w:rPr>
        <w:t xml:space="preserve"> </w:t>
      </w:r>
      <w:r w:rsidRPr="00420873">
        <w:rPr>
          <w:rFonts w:eastAsia="Arial" w:cstheme="minorHAnsi"/>
          <w:i/>
          <w:iCs/>
        </w:rPr>
        <w:t>decline</w:t>
      </w:r>
      <w:r w:rsidRPr="00420873">
        <w:rPr>
          <w:rFonts w:cstheme="minorHAnsi"/>
          <w:i/>
          <w:iCs/>
          <w:spacing w:val="-1"/>
        </w:rPr>
        <w:t xml:space="preserve"> </w:t>
      </w:r>
      <w:r w:rsidRPr="00420873">
        <w:rPr>
          <w:rFonts w:eastAsia="Arial" w:cstheme="minorHAnsi"/>
          <w:i/>
          <w:iCs/>
        </w:rPr>
        <w:t>even without</w:t>
      </w:r>
      <w:r w:rsidRPr="00420873">
        <w:rPr>
          <w:rFonts w:cstheme="minorHAnsi"/>
          <w:i/>
          <w:iCs/>
          <w:spacing w:val="-1"/>
        </w:rPr>
        <w:t xml:space="preserve"> </w:t>
      </w:r>
      <w:r w:rsidRPr="00420873">
        <w:rPr>
          <w:rFonts w:eastAsia="Arial" w:cstheme="minorHAnsi"/>
          <w:i/>
          <w:iCs/>
        </w:rPr>
        <w:t>rate</w:t>
      </w:r>
      <w:r w:rsidRPr="00420873">
        <w:rPr>
          <w:rFonts w:cstheme="minorHAnsi"/>
          <w:i/>
          <w:iCs/>
          <w:spacing w:val="2"/>
        </w:rPr>
        <w:t xml:space="preserve"> </w:t>
      </w:r>
      <w:r w:rsidRPr="00420873">
        <w:rPr>
          <w:rFonts w:eastAsia="Arial" w:cstheme="minorHAnsi"/>
          <w:i/>
          <w:iCs/>
        </w:rPr>
        <w:t>change.</w:t>
      </w:r>
      <w:r w:rsidRPr="00420873">
        <w:rPr>
          <w:rFonts w:cstheme="minorHAnsi"/>
          <w:i/>
          <w:iCs/>
          <w:spacing w:val="-1"/>
        </w:rPr>
        <w:t xml:space="preserve"> </w:t>
      </w:r>
      <w:r w:rsidRPr="00420873">
        <w:rPr>
          <w:rFonts w:eastAsia="Arial" w:cstheme="minorHAnsi"/>
          <w:i/>
          <w:iCs/>
        </w:rPr>
        <w:t>The</w:t>
      </w:r>
      <w:r w:rsidRPr="00420873">
        <w:rPr>
          <w:rFonts w:cstheme="minorHAnsi"/>
          <w:i/>
          <w:iCs/>
          <w:spacing w:val="2"/>
        </w:rPr>
        <w:t xml:space="preserve"> </w:t>
      </w:r>
      <w:r w:rsidRPr="00420873">
        <w:rPr>
          <w:rFonts w:eastAsia="Arial" w:cstheme="minorHAnsi"/>
          <w:i/>
          <w:iCs/>
        </w:rPr>
        <w:t>Risk</w:t>
      </w:r>
      <w:r w:rsidRPr="00420873">
        <w:rPr>
          <w:rFonts w:cstheme="minorHAnsi"/>
          <w:i/>
          <w:iCs/>
          <w:spacing w:val="1"/>
        </w:rPr>
        <w:t xml:space="preserve"> </w:t>
      </w:r>
      <w:r w:rsidRPr="00420873">
        <w:rPr>
          <w:rFonts w:eastAsia="Arial" w:cstheme="minorHAnsi"/>
          <w:i/>
          <w:iCs/>
        </w:rPr>
        <w:t>Limit</w:t>
      </w:r>
      <w:r w:rsidRPr="00420873">
        <w:rPr>
          <w:rFonts w:cstheme="minorHAnsi"/>
          <w:i/>
          <w:iCs/>
          <w:spacing w:val="1"/>
        </w:rPr>
        <w:t xml:space="preserve"> </w:t>
      </w:r>
      <w:r w:rsidRPr="00420873">
        <w:rPr>
          <w:rFonts w:eastAsia="Arial" w:cstheme="minorHAnsi"/>
          <w:i/>
          <w:iCs/>
        </w:rPr>
        <w:t>is</w:t>
      </w:r>
      <w:r w:rsidRPr="00420873">
        <w:rPr>
          <w:rFonts w:cstheme="minorHAnsi"/>
          <w:i/>
          <w:iCs/>
          <w:spacing w:val="4"/>
        </w:rPr>
        <w:t xml:space="preserve"> </w:t>
      </w:r>
      <w:r w:rsidRPr="00420873">
        <w:rPr>
          <w:rFonts w:eastAsia="Arial" w:cstheme="minorHAnsi"/>
          <w:i/>
          <w:iCs/>
        </w:rPr>
        <w:t>the</w:t>
      </w:r>
      <w:r w:rsidRPr="00420873">
        <w:rPr>
          <w:rFonts w:cstheme="minorHAnsi"/>
          <w:i/>
          <w:iCs/>
          <w:spacing w:val="2"/>
        </w:rPr>
        <w:t xml:space="preserve"> </w:t>
      </w:r>
      <w:r w:rsidRPr="00420873">
        <w:rPr>
          <w:rFonts w:eastAsia="Arial" w:cstheme="minorHAnsi"/>
          <w:i/>
          <w:iCs/>
        </w:rPr>
        <w:t>maximum</w:t>
      </w:r>
      <w:r w:rsidRPr="00420873">
        <w:rPr>
          <w:rFonts w:cstheme="minorHAnsi"/>
          <w:i/>
          <w:iCs/>
          <w:spacing w:val="-3"/>
        </w:rPr>
        <w:t xml:space="preserve"> </w:t>
      </w:r>
      <w:r w:rsidRPr="00420873">
        <w:rPr>
          <w:rFonts w:eastAsia="Arial" w:cstheme="minorHAnsi"/>
          <w:i/>
          <w:iCs/>
        </w:rPr>
        <w:lastRenderedPageBreak/>
        <w:t>percentage</w:t>
      </w:r>
      <w:r w:rsidRPr="00420873">
        <w:rPr>
          <w:rFonts w:cstheme="minorHAnsi"/>
          <w:i/>
          <w:iCs/>
          <w:spacing w:val="-4"/>
        </w:rPr>
        <w:t xml:space="preserve"> </w:t>
      </w:r>
      <w:r w:rsidRPr="00420873">
        <w:rPr>
          <w:rFonts w:eastAsia="Arial" w:cstheme="minorHAnsi"/>
          <w:i/>
          <w:iCs/>
        </w:rPr>
        <w:t>NIM</w:t>
      </w:r>
      <w:r w:rsidRPr="00420873">
        <w:rPr>
          <w:rFonts w:cstheme="minorHAnsi"/>
          <w:i/>
          <w:iCs/>
          <w:spacing w:val="2"/>
        </w:rPr>
        <w:t xml:space="preserve"> </w:t>
      </w:r>
      <w:r w:rsidRPr="00420873">
        <w:rPr>
          <w:rFonts w:eastAsia="Arial" w:cstheme="minorHAnsi"/>
          <w:i/>
          <w:iCs/>
        </w:rPr>
        <w:t>change</w:t>
      </w:r>
      <w:r w:rsidRPr="00420873">
        <w:rPr>
          <w:rFonts w:cstheme="minorHAnsi"/>
          <w:i/>
          <w:iCs/>
          <w:spacing w:val="-1"/>
        </w:rPr>
        <w:t xml:space="preserve"> </w:t>
      </w:r>
      <w:r w:rsidRPr="00420873">
        <w:rPr>
          <w:rFonts w:eastAsia="Arial" w:cstheme="minorHAnsi"/>
          <w:i/>
          <w:iCs/>
        </w:rPr>
        <w:t>from</w:t>
      </w:r>
      <w:r w:rsidRPr="00420873">
        <w:rPr>
          <w:rFonts w:cstheme="minorHAnsi"/>
          <w:i/>
          <w:iCs/>
          <w:spacing w:val="1"/>
        </w:rPr>
        <w:t xml:space="preserve"> </w:t>
      </w:r>
      <w:r w:rsidRPr="00420873">
        <w:rPr>
          <w:rFonts w:eastAsia="Arial" w:cstheme="minorHAnsi"/>
          <w:i/>
          <w:iCs/>
        </w:rPr>
        <w:t>the</w:t>
      </w:r>
      <w:r w:rsidRPr="00420873">
        <w:rPr>
          <w:rFonts w:cstheme="minorHAnsi"/>
          <w:i/>
          <w:iCs/>
          <w:spacing w:val="2"/>
        </w:rPr>
        <w:t xml:space="preserve"> </w:t>
      </w:r>
      <w:r w:rsidRPr="00420873">
        <w:rPr>
          <w:rFonts w:eastAsia="Arial" w:cstheme="minorHAnsi"/>
          <w:i/>
          <w:iCs/>
        </w:rPr>
        <w:t>Current</w:t>
      </w:r>
      <w:r w:rsidRPr="00420873">
        <w:rPr>
          <w:rFonts w:cstheme="minorHAnsi"/>
          <w:i/>
          <w:iCs/>
          <w:spacing w:val="-1"/>
        </w:rPr>
        <w:t xml:space="preserve"> </w:t>
      </w:r>
      <w:r w:rsidRPr="00420873">
        <w:rPr>
          <w:rFonts w:eastAsia="Arial" w:cstheme="minorHAnsi"/>
          <w:i/>
          <w:iCs/>
        </w:rPr>
        <w:t>Margin</w:t>
      </w:r>
      <w:r w:rsidRPr="00420873">
        <w:rPr>
          <w:rFonts w:cstheme="minorHAnsi"/>
          <w:i/>
          <w:iCs/>
        </w:rPr>
        <w:t xml:space="preserve"> </w:t>
      </w:r>
      <w:r w:rsidRPr="00420873">
        <w:rPr>
          <w:rFonts w:eastAsia="Arial" w:cstheme="minorHAnsi"/>
          <w:i/>
          <w:iCs/>
        </w:rPr>
        <w:t>(under</w:t>
      </w:r>
      <w:r w:rsidRPr="00420873">
        <w:rPr>
          <w:rFonts w:cstheme="minorHAnsi"/>
          <w:i/>
          <w:iCs/>
        </w:rPr>
        <w:t xml:space="preserve"> </w:t>
      </w:r>
      <w:r w:rsidRPr="00420873">
        <w:rPr>
          <w:rFonts w:eastAsia="Arial" w:cstheme="minorHAnsi"/>
          <w:i/>
          <w:iCs/>
        </w:rPr>
        <w:t>flat</w:t>
      </w:r>
      <w:r w:rsidRPr="00420873">
        <w:rPr>
          <w:rFonts w:cstheme="minorHAnsi"/>
          <w:i/>
          <w:iCs/>
          <w:spacing w:val="3"/>
        </w:rPr>
        <w:t xml:space="preserve"> </w:t>
      </w:r>
      <w:r w:rsidRPr="00420873">
        <w:rPr>
          <w:rFonts w:eastAsia="Arial" w:cstheme="minorHAnsi"/>
          <w:i/>
          <w:iCs/>
        </w:rPr>
        <w:t>rates)</w:t>
      </w:r>
      <w:r w:rsidRPr="00420873">
        <w:rPr>
          <w:rFonts w:cstheme="minorHAnsi"/>
          <w:i/>
          <w:iCs/>
          <w:spacing w:val="37"/>
        </w:rPr>
        <w:t xml:space="preserve"> </w:t>
      </w:r>
      <w:r w:rsidRPr="00420873">
        <w:rPr>
          <w:rFonts w:eastAsia="Arial" w:cstheme="minorHAnsi"/>
          <w:i/>
          <w:iCs/>
        </w:rPr>
        <w:t>before</w:t>
      </w:r>
      <w:r w:rsidRPr="00420873">
        <w:rPr>
          <w:rFonts w:cstheme="minorHAnsi"/>
          <w:i/>
          <w:iCs/>
        </w:rPr>
        <w:t xml:space="preserve"> </w:t>
      </w:r>
      <w:r w:rsidRPr="00420873">
        <w:rPr>
          <w:rFonts w:eastAsia="Arial" w:cstheme="minorHAnsi"/>
          <w:i/>
          <w:iCs/>
        </w:rPr>
        <w:t>the</w:t>
      </w:r>
      <w:r w:rsidRPr="00420873">
        <w:rPr>
          <w:rFonts w:cstheme="minorHAnsi"/>
          <w:i/>
          <w:iCs/>
          <w:spacing w:val="2"/>
        </w:rPr>
        <w:t xml:space="preserve"> </w:t>
      </w:r>
      <w:r w:rsidRPr="00420873">
        <w:rPr>
          <w:rFonts w:eastAsia="Arial" w:cstheme="minorHAnsi"/>
          <w:i/>
          <w:iCs/>
        </w:rPr>
        <w:t>bank</w:t>
      </w:r>
      <w:r w:rsidRPr="00420873">
        <w:rPr>
          <w:rFonts w:eastAsia="Arial" w:cstheme="minorHAnsi"/>
          <w:i/>
          <w:iCs/>
          <w:spacing w:val="-3"/>
        </w:rPr>
        <w:t>’</w:t>
      </w:r>
      <w:r w:rsidRPr="00420873">
        <w:rPr>
          <w:rFonts w:eastAsia="Arial" w:cstheme="minorHAnsi"/>
          <w:i/>
          <w:iCs/>
        </w:rPr>
        <w:t>s</w:t>
      </w:r>
      <w:r w:rsidRPr="00420873">
        <w:rPr>
          <w:rFonts w:cstheme="minorHAnsi"/>
          <w:i/>
          <w:iCs/>
        </w:rPr>
        <w:t xml:space="preserve"> </w:t>
      </w:r>
      <w:r w:rsidRPr="00420873">
        <w:rPr>
          <w:rFonts w:eastAsia="Arial" w:cstheme="minorHAnsi"/>
          <w:i/>
          <w:iCs/>
        </w:rPr>
        <w:t>capital</w:t>
      </w:r>
      <w:r w:rsidRPr="00420873">
        <w:rPr>
          <w:rFonts w:cstheme="minorHAnsi"/>
          <w:i/>
          <w:iCs/>
        </w:rPr>
        <w:t xml:space="preserve"> </w:t>
      </w:r>
      <w:r w:rsidR="00420873" w:rsidRPr="00420873">
        <w:rPr>
          <w:rFonts w:eastAsia="Arial" w:cstheme="minorHAnsi"/>
          <w:i/>
          <w:iCs/>
        </w:rPr>
        <w:t>falls</w:t>
      </w:r>
      <w:r w:rsidRPr="00420873">
        <w:rPr>
          <w:rFonts w:cstheme="minorHAnsi"/>
          <w:i/>
          <w:iCs/>
          <w:spacing w:val="3"/>
        </w:rPr>
        <w:t xml:space="preserve"> </w:t>
      </w:r>
      <w:r w:rsidRPr="00420873">
        <w:rPr>
          <w:rFonts w:eastAsia="Arial" w:cstheme="minorHAnsi"/>
          <w:i/>
          <w:iCs/>
        </w:rPr>
        <w:t>below</w:t>
      </w:r>
      <w:r w:rsidRPr="00420873">
        <w:rPr>
          <w:rFonts w:cstheme="minorHAnsi"/>
          <w:i/>
          <w:iCs/>
        </w:rPr>
        <w:t xml:space="preserve"> </w:t>
      </w:r>
      <w:r w:rsidRPr="00420873">
        <w:rPr>
          <w:rFonts w:eastAsia="Arial" w:cstheme="minorHAnsi"/>
          <w:i/>
          <w:iCs/>
        </w:rPr>
        <w:t>the</w:t>
      </w:r>
      <w:r w:rsidRPr="00420873">
        <w:rPr>
          <w:rFonts w:cstheme="minorHAnsi"/>
          <w:i/>
          <w:iCs/>
          <w:spacing w:val="2"/>
        </w:rPr>
        <w:t xml:space="preserve"> </w:t>
      </w:r>
      <w:r w:rsidRPr="00420873">
        <w:rPr>
          <w:rFonts w:eastAsia="Arial" w:cstheme="minorHAnsi"/>
          <w:i/>
          <w:iCs/>
        </w:rPr>
        <w:t>current</w:t>
      </w:r>
      <w:r w:rsidRPr="00420873">
        <w:rPr>
          <w:rFonts w:cstheme="minorHAnsi"/>
          <w:i/>
          <w:iCs/>
          <w:spacing w:val="-1"/>
        </w:rPr>
        <w:t xml:space="preserve"> </w:t>
      </w:r>
      <w:r w:rsidRPr="00420873">
        <w:rPr>
          <w:rFonts w:eastAsia="Arial" w:cstheme="minorHAnsi"/>
          <w:i/>
          <w:iCs/>
        </w:rPr>
        <w:t>amount</w:t>
      </w:r>
      <w:r w:rsidRPr="00420873">
        <w:rPr>
          <w:rFonts w:cstheme="minorHAnsi"/>
          <w:i/>
          <w:iCs/>
          <w:spacing w:val="-1"/>
        </w:rPr>
        <w:t xml:space="preserve"> </w:t>
      </w:r>
      <w:r w:rsidRPr="00420873">
        <w:rPr>
          <w:rFonts w:eastAsia="Arial" w:cstheme="minorHAnsi"/>
          <w:i/>
          <w:iCs/>
        </w:rPr>
        <w:t>or</w:t>
      </w:r>
      <w:r w:rsidRPr="00420873">
        <w:rPr>
          <w:rFonts w:cstheme="minorHAnsi"/>
          <w:i/>
          <w:iCs/>
          <w:spacing w:val="3"/>
        </w:rPr>
        <w:t xml:space="preserve"> </w:t>
      </w:r>
      <w:r w:rsidRPr="00420873">
        <w:rPr>
          <w:rFonts w:eastAsia="Arial" w:cstheme="minorHAnsi"/>
          <w:i/>
          <w:iCs/>
        </w:rPr>
        <w:t>the</w:t>
      </w:r>
      <w:r w:rsidRPr="00420873">
        <w:rPr>
          <w:rFonts w:cstheme="minorHAnsi"/>
          <w:i/>
          <w:iCs/>
          <w:spacing w:val="2"/>
        </w:rPr>
        <w:t xml:space="preserve"> </w:t>
      </w:r>
      <w:r w:rsidRPr="00420873">
        <w:rPr>
          <w:rFonts w:eastAsia="Arial" w:cstheme="minorHAnsi"/>
          <w:i/>
          <w:iCs/>
        </w:rPr>
        <w:t>designated</w:t>
      </w:r>
      <w:r w:rsidRPr="00420873">
        <w:rPr>
          <w:rFonts w:cstheme="minorHAnsi"/>
          <w:i/>
          <w:iCs/>
          <w:spacing w:val="-4"/>
        </w:rPr>
        <w:t xml:space="preserve"> </w:t>
      </w:r>
      <w:r w:rsidRPr="00420873">
        <w:rPr>
          <w:rFonts w:eastAsia="Arial" w:cstheme="minorHAnsi"/>
          <w:i/>
          <w:iCs/>
        </w:rPr>
        <w:t>minimum</w:t>
      </w:r>
      <w:r w:rsidRPr="00420873">
        <w:rPr>
          <w:rFonts w:cstheme="minorHAnsi"/>
          <w:i/>
          <w:iCs/>
          <w:spacing w:val="-2"/>
        </w:rPr>
        <w:t xml:space="preserve"> </w:t>
      </w:r>
      <w:r w:rsidRPr="00420873">
        <w:rPr>
          <w:rFonts w:eastAsia="Arial" w:cstheme="minorHAnsi"/>
          <w:i/>
          <w:iCs/>
        </w:rPr>
        <w:t>required</w:t>
      </w:r>
      <w:r w:rsidRPr="00420873">
        <w:rPr>
          <w:rFonts w:cstheme="minorHAnsi"/>
          <w:i/>
          <w:iCs/>
          <w:spacing w:val="-2"/>
        </w:rPr>
        <w:t xml:space="preserve"> </w:t>
      </w:r>
      <w:r w:rsidRPr="00420873">
        <w:rPr>
          <w:rFonts w:eastAsia="Arial" w:cstheme="minorHAnsi"/>
          <w:i/>
          <w:iCs/>
        </w:rPr>
        <w:t>amount,</w:t>
      </w:r>
      <w:r w:rsidRPr="00420873">
        <w:rPr>
          <w:rFonts w:cstheme="minorHAnsi"/>
          <w:i/>
          <w:iCs/>
          <w:spacing w:val="-1"/>
        </w:rPr>
        <w:t xml:space="preserve"> </w:t>
      </w:r>
      <w:r w:rsidRPr="00420873">
        <w:rPr>
          <w:rFonts w:eastAsia="Arial" w:cstheme="minorHAnsi"/>
          <w:i/>
          <w:iCs/>
        </w:rPr>
        <w:t>whichever</w:t>
      </w:r>
      <w:r w:rsidRPr="00420873">
        <w:rPr>
          <w:rFonts w:cstheme="minorHAnsi"/>
          <w:i/>
          <w:iCs/>
          <w:spacing w:val="-3"/>
        </w:rPr>
        <w:t xml:space="preserve"> </w:t>
      </w:r>
      <w:r w:rsidRPr="00420873">
        <w:rPr>
          <w:rFonts w:eastAsia="Arial" w:cstheme="minorHAnsi"/>
          <w:i/>
          <w:iCs/>
        </w:rPr>
        <w:t>is</w:t>
      </w:r>
      <w:r w:rsidRPr="00420873">
        <w:rPr>
          <w:rFonts w:cstheme="minorHAnsi"/>
          <w:i/>
          <w:iCs/>
          <w:spacing w:val="4"/>
        </w:rPr>
        <w:t xml:space="preserve"> </w:t>
      </w:r>
      <w:r w:rsidRPr="00420873">
        <w:rPr>
          <w:rFonts w:eastAsia="Arial" w:cstheme="minorHAnsi"/>
          <w:i/>
          <w:iCs/>
        </w:rPr>
        <w:t>higher.</w:t>
      </w:r>
    </w:p>
    <w:p w14:paraId="483E8AF8" w14:textId="77777777" w:rsidR="00A13AB6" w:rsidRDefault="00A13AB6" w:rsidP="00A13AB6">
      <w:pPr>
        <w:spacing w:after="0"/>
        <w:ind w:right="810"/>
        <w:rPr>
          <w:rFonts w:eastAsia="Arial" w:cstheme="minorHAnsi"/>
          <w:b/>
          <w:color w:val="000000" w:themeColor="text1"/>
        </w:rPr>
      </w:pPr>
    </w:p>
    <w:p w14:paraId="1DF7A8A9" w14:textId="6F3E6892" w:rsidR="00A13AB6" w:rsidRPr="00A13AB6" w:rsidRDefault="00A13AB6" w:rsidP="00A13AB6">
      <w:pPr>
        <w:spacing w:after="0"/>
        <w:ind w:right="810"/>
        <w:rPr>
          <w:rFonts w:eastAsia="Arial" w:cstheme="minorHAnsi"/>
          <w:color w:val="000000" w:themeColor="text1"/>
        </w:rPr>
      </w:pPr>
      <w:r w:rsidRPr="00A13AB6">
        <w:rPr>
          <w:rFonts w:eastAsia="Arial" w:cstheme="minorHAnsi"/>
          <w:b/>
          <w:color w:val="000000" w:themeColor="text1"/>
        </w:rPr>
        <w:t>Factors</w:t>
      </w:r>
      <w:r w:rsidRPr="00A13AB6">
        <w:rPr>
          <w:rFonts w:cstheme="minorHAnsi"/>
          <w:b/>
          <w:color w:val="000000" w:themeColor="text1"/>
          <w:spacing w:val="24"/>
        </w:rPr>
        <w:t xml:space="preserve"> </w:t>
      </w:r>
      <w:r w:rsidRPr="00A13AB6">
        <w:rPr>
          <w:rFonts w:eastAsia="Arial" w:cstheme="minorHAnsi"/>
          <w:b/>
          <w:color w:val="000000" w:themeColor="text1"/>
        </w:rPr>
        <w:t>Impacting</w:t>
      </w:r>
      <w:r w:rsidRPr="00A13AB6">
        <w:rPr>
          <w:rFonts w:cstheme="minorHAnsi"/>
          <w:b/>
          <w:color w:val="000000" w:themeColor="text1"/>
          <w:spacing w:val="30"/>
        </w:rPr>
        <w:t xml:space="preserve"> </w:t>
      </w:r>
      <w:r w:rsidRPr="00A13AB6">
        <w:rPr>
          <w:rFonts w:eastAsia="Arial" w:cstheme="minorHAnsi"/>
          <w:b/>
          <w:color w:val="000000" w:themeColor="text1"/>
          <w:w w:val="102"/>
        </w:rPr>
        <w:t>Risk</w:t>
      </w:r>
      <w:r w:rsidRPr="00A13AB6">
        <w:rPr>
          <w:rFonts w:cstheme="minorHAnsi"/>
          <w:b/>
          <w:color w:val="000000" w:themeColor="text1"/>
          <w:spacing w:val="6"/>
        </w:rPr>
        <w:t xml:space="preserve"> </w:t>
      </w:r>
      <w:r w:rsidRPr="00A13AB6">
        <w:rPr>
          <w:rFonts w:eastAsia="Arial" w:cstheme="minorHAnsi"/>
          <w:b/>
          <w:color w:val="000000" w:themeColor="text1"/>
          <w:spacing w:val="-18"/>
          <w:w w:val="102"/>
        </w:rPr>
        <w:t>T</w:t>
      </w:r>
      <w:r w:rsidRPr="00A13AB6">
        <w:rPr>
          <w:rFonts w:eastAsia="Arial" w:cstheme="minorHAnsi"/>
          <w:b/>
          <w:color w:val="000000" w:themeColor="text1"/>
          <w:w w:val="102"/>
        </w:rPr>
        <w:t>olerance</w:t>
      </w:r>
    </w:p>
    <w:p w14:paraId="410E2413" w14:textId="641AAB75" w:rsidR="00A13AB6" w:rsidRPr="00A13AB6" w:rsidRDefault="00A13AB6" w:rsidP="00A13AB6">
      <w:pPr>
        <w:spacing w:after="0"/>
        <w:ind w:right="810"/>
        <w:rPr>
          <w:rFonts w:eastAsia="Arial" w:cstheme="minorHAnsi"/>
        </w:rPr>
      </w:pPr>
      <w:r w:rsidRPr="00A13AB6">
        <w:rPr>
          <w:rFonts w:eastAsia="Arial" w:cstheme="minorHAnsi"/>
        </w:rPr>
        <w:t>The Rate Risk Tolerance calculation addresses asset</w:t>
      </w:r>
      <w:r w:rsidR="00420873">
        <w:rPr>
          <w:rFonts w:eastAsia="Arial" w:cstheme="minorHAnsi"/>
        </w:rPr>
        <w:t xml:space="preserve"> </w:t>
      </w:r>
      <w:r w:rsidRPr="00A13AB6">
        <w:rPr>
          <w:rFonts w:eastAsia="Arial" w:cstheme="minorHAnsi"/>
        </w:rPr>
        <w:t xml:space="preserve">liability management in a holistic manner. It recognizes that net interest margin and margin risk are not independent of other aspects of the bank's financial issues. No part of the bank's financial statement stands alone. Focus should be on the bottom line rather than margin or overhead alone. Risk Tolerance can explain why some banks can operate with narrow </w:t>
      </w:r>
      <w:r w:rsidR="00420873" w:rsidRPr="00A13AB6">
        <w:rPr>
          <w:rFonts w:eastAsia="Arial" w:cstheme="minorHAnsi"/>
        </w:rPr>
        <w:t>margins</w:t>
      </w:r>
      <w:r w:rsidRPr="00A13AB6">
        <w:rPr>
          <w:rFonts w:eastAsia="Arial" w:cstheme="minorHAnsi"/>
        </w:rPr>
        <w:t xml:space="preserve"> and continue to generate substantial returns for their shareholders, while others achieve large margins and yet bring only 50 basis points to the bottom line. Banks can relieve pressure on the margin by taking steps to reduce those components of Risk Tolerance that cause the minimum margin to increase. By the same token, banks with an adequate Risk Tolerance position could find, for reasons other than rate change, their Risk Tolerance evaporates. This is due, of course, to changes in the components of the bank's Risk Tolerance such as loan losses or increasing operating expenses.</w:t>
      </w:r>
    </w:p>
    <w:p w14:paraId="723B6756" w14:textId="77777777" w:rsidR="00A13AB6" w:rsidRPr="00A13AB6" w:rsidRDefault="00A13AB6" w:rsidP="00A13AB6">
      <w:pPr>
        <w:spacing w:after="0"/>
        <w:ind w:right="810"/>
        <w:rPr>
          <w:rFonts w:eastAsia="Arial" w:cstheme="minorHAnsi"/>
        </w:rPr>
      </w:pPr>
    </w:p>
    <w:p w14:paraId="6BF8412E" w14:textId="77777777" w:rsidR="00A13AB6" w:rsidRPr="00A13AB6" w:rsidRDefault="00A13AB6" w:rsidP="00A13AB6">
      <w:pPr>
        <w:spacing w:after="0"/>
        <w:ind w:right="810"/>
        <w:rPr>
          <w:rFonts w:eastAsia="Arial" w:cstheme="minorHAnsi"/>
          <w:color w:val="000000" w:themeColor="text1"/>
        </w:rPr>
      </w:pPr>
      <w:r w:rsidRPr="00A13AB6">
        <w:rPr>
          <w:rFonts w:eastAsia="Arial" w:cstheme="minorHAnsi"/>
          <w:b/>
          <w:color w:val="000000" w:themeColor="text1"/>
          <w:position w:val="-1"/>
        </w:rPr>
        <w:t>Rate</w:t>
      </w:r>
      <w:r w:rsidRPr="00A13AB6">
        <w:rPr>
          <w:rFonts w:cstheme="minorHAnsi"/>
          <w:b/>
          <w:color w:val="000000" w:themeColor="text1"/>
          <w:spacing w:val="16"/>
          <w:position w:val="-1"/>
        </w:rPr>
        <w:t xml:space="preserve"> </w:t>
      </w:r>
      <w:r w:rsidRPr="00A13AB6">
        <w:rPr>
          <w:rFonts w:eastAsia="Arial" w:cstheme="minorHAnsi"/>
          <w:b/>
          <w:color w:val="000000" w:themeColor="text1"/>
          <w:position w:val="-1"/>
        </w:rPr>
        <w:t>Sensitivity</w:t>
      </w:r>
      <w:r w:rsidRPr="00A13AB6">
        <w:rPr>
          <w:rFonts w:cstheme="minorHAnsi"/>
          <w:b/>
          <w:color w:val="000000" w:themeColor="text1"/>
          <w:spacing w:val="31"/>
          <w:position w:val="-1"/>
        </w:rPr>
        <w:t xml:space="preserve"> </w:t>
      </w:r>
      <w:r w:rsidRPr="00A13AB6">
        <w:rPr>
          <w:rFonts w:eastAsia="Arial" w:cstheme="minorHAnsi"/>
          <w:b/>
          <w:color w:val="000000" w:themeColor="text1"/>
          <w:position w:val="-1"/>
        </w:rPr>
        <w:t>of</w:t>
      </w:r>
      <w:r w:rsidRPr="00A13AB6">
        <w:rPr>
          <w:rFonts w:cstheme="minorHAnsi"/>
          <w:b/>
          <w:color w:val="000000" w:themeColor="text1"/>
          <w:spacing w:val="11"/>
          <w:position w:val="-1"/>
        </w:rPr>
        <w:t xml:space="preserve"> </w:t>
      </w:r>
      <w:r w:rsidRPr="00A13AB6">
        <w:rPr>
          <w:rFonts w:eastAsia="Arial" w:cstheme="minorHAnsi"/>
          <w:b/>
          <w:color w:val="000000" w:themeColor="text1"/>
          <w:position w:val="-1"/>
        </w:rPr>
        <w:t>Non-Maturing</w:t>
      </w:r>
      <w:r w:rsidRPr="00A13AB6">
        <w:rPr>
          <w:rFonts w:cstheme="minorHAnsi"/>
          <w:b/>
          <w:color w:val="000000" w:themeColor="text1"/>
          <w:spacing w:val="38"/>
          <w:position w:val="-1"/>
        </w:rPr>
        <w:t xml:space="preserve"> </w:t>
      </w:r>
      <w:r w:rsidRPr="00A13AB6">
        <w:rPr>
          <w:rFonts w:eastAsia="Arial" w:cstheme="minorHAnsi"/>
          <w:b/>
          <w:color w:val="000000" w:themeColor="text1"/>
          <w:w w:val="102"/>
          <w:position w:val="-1"/>
        </w:rPr>
        <w:t>Balances</w:t>
      </w:r>
    </w:p>
    <w:p w14:paraId="04121398" w14:textId="712933E9" w:rsidR="00A13AB6" w:rsidRPr="00A13AB6" w:rsidRDefault="00A13AB6" w:rsidP="00A13AB6">
      <w:pPr>
        <w:spacing w:after="0"/>
        <w:ind w:right="810"/>
        <w:rPr>
          <w:rFonts w:eastAsia="Arial" w:cstheme="minorHAnsi"/>
        </w:rPr>
      </w:pPr>
      <w:r w:rsidRPr="00A13AB6">
        <w:rPr>
          <w:rFonts w:eastAsia="Arial" w:cstheme="minorHAnsi"/>
        </w:rPr>
        <w:t>Cost of Funds Rate (COFR) for non-maturing deposits</w:t>
      </w:r>
      <w:r w:rsidR="00420873">
        <w:rPr>
          <w:rFonts w:eastAsia="Arial" w:cstheme="minorHAnsi"/>
        </w:rPr>
        <w:t xml:space="preserve"> (</w:t>
      </w:r>
      <w:r w:rsidRPr="00A13AB6">
        <w:rPr>
          <w:rFonts w:eastAsia="Arial" w:cstheme="minorHAnsi"/>
        </w:rPr>
        <w:t>Interest Bearing Checking, MMDA and Savings</w:t>
      </w:r>
      <w:r w:rsidR="00420873">
        <w:rPr>
          <w:rFonts w:eastAsia="Arial" w:cstheme="minorHAnsi"/>
        </w:rPr>
        <w:t xml:space="preserve">) </w:t>
      </w:r>
      <w:r w:rsidRPr="00A13AB6">
        <w:rPr>
          <w:rFonts w:eastAsia="Arial" w:cstheme="minorHAnsi"/>
        </w:rPr>
        <w:t xml:space="preserve">is under </w:t>
      </w:r>
      <w:r w:rsidR="00420873" w:rsidRPr="00A13AB6">
        <w:rPr>
          <w:rFonts w:eastAsia="Arial" w:cstheme="minorHAnsi"/>
        </w:rPr>
        <w:t>direct</w:t>
      </w:r>
      <w:r w:rsidRPr="00A13AB6">
        <w:rPr>
          <w:rFonts w:eastAsia="Arial" w:cstheme="minorHAnsi"/>
        </w:rPr>
        <w:t xml:space="preserve"> control of the bank. However, there is often a relationship between interest rates and the yields on these accounts. </w:t>
      </w:r>
      <w:r w:rsidR="00420873">
        <w:rPr>
          <w:rFonts w:eastAsia="Arial" w:cstheme="minorHAnsi"/>
        </w:rPr>
        <w:t>RiskGPS</w:t>
      </w:r>
      <w:r w:rsidRPr="00A13AB6">
        <w:rPr>
          <w:rFonts w:eastAsia="Arial" w:cstheme="minorHAnsi"/>
        </w:rPr>
        <w:t xml:space="preserve"> attempt</w:t>
      </w:r>
      <w:r w:rsidR="00420873">
        <w:rPr>
          <w:rFonts w:eastAsia="Arial" w:cstheme="minorHAnsi"/>
        </w:rPr>
        <w:t>s</w:t>
      </w:r>
      <w:r w:rsidRPr="00A13AB6">
        <w:rPr>
          <w:rFonts w:eastAsia="Arial" w:cstheme="minorHAnsi"/>
        </w:rPr>
        <w:t xml:space="preserve"> to uncover this relationship and use it to determine the COFR behavior on these </w:t>
      </w:r>
      <w:r w:rsidR="00420873">
        <w:rPr>
          <w:rFonts w:eastAsia="Arial" w:cstheme="minorHAnsi"/>
        </w:rPr>
        <w:t xml:space="preserve">non-maturing deposit </w:t>
      </w:r>
      <w:r w:rsidRPr="00A13AB6">
        <w:rPr>
          <w:rFonts w:eastAsia="Arial" w:cstheme="minorHAnsi"/>
        </w:rPr>
        <w:t xml:space="preserve">accounts as rates rise and fall. To accomplish this, </w:t>
      </w:r>
      <w:r w:rsidR="00420873">
        <w:rPr>
          <w:rFonts w:eastAsia="Arial" w:cstheme="minorHAnsi"/>
        </w:rPr>
        <w:t>RiskGPS identifies</w:t>
      </w:r>
      <w:r w:rsidRPr="00A13AB6">
        <w:rPr>
          <w:rFonts w:eastAsia="Arial" w:cstheme="minorHAnsi"/>
        </w:rPr>
        <w:t xml:space="preserve"> </w:t>
      </w:r>
      <w:r w:rsidR="00F13550">
        <w:rPr>
          <w:rFonts w:eastAsia="Arial" w:cstheme="minorHAnsi"/>
        </w:rPr>
        <w:t xml:space="preserve">historical </w:t>
      </w:r>
      <w:r w:rsidRPr="00A13AB6">
        <w:rPr>
          <w:rFonts w:eastAsia="Arial" w:cstheme="minorHAnsi"/>
        </w:rPr>
        <w:t xml:space="preserve">periods of sustained interest rate change, one rising and one falling. We then correlate the change of interest rates and the COFR for these periods. The correlation </w:t>
      </w:r>
      <w:r w:rsidR="00166B3C">
        <w:rPr>
          <w:rFonts w:eastAsia="Arial" w:cstheme="minorHAnsi"/>
        </w:rPr>
        <w:t>is called the</w:t>
      </w:r>
      <w:r w:rsidRPr="00A13AB6">
        <w:rPr>
          <w:rFonts w:eastAsia="Arial" w:cstheme="minorHAnsi"/>
        </w:rPr>
        <w:t xml:space="preserve"> </w:t>
      </w:r>
      <w:r w:rsidR="00166B3C" w:rsidRPr="00A13AB6">
        <w:rPr>
          <w:rFonts w:eastAsia="Arial" w:cstheme="minorHAnsi"/>
        </w:rPr>
        <w:t>Beta</w:t>
      </w:r>
      <w:r w:rsidRPr="00A13AB6">
        <w:rPr>
          <w:rFonts w:eastAsia="Arial" w:cstheme="minorHAnsi"/>
        </w:rPr>
        <w:t>. The system use</w:t>
      </w:r>
      <w:r w:rsidR="00166B3C">
        <w:rPr>
          <w:rFonts w:eastAsia="Arial" w:cstheme="minorHAnsi"/>
        </w:rPr>
        <w:t>s</w:t>
      </w:r>
      <w:r w:rsidRPr="00A13AB6">
        <w:rPr>
          <w:rFonts w:eastAsia="Arial" w:cstheme="minorHAnsi"/>
        </w:rPr>
        <w:t xml:space="preserve"> </w:t>
      </w:r>
      <w:r w:rsidR="00166B3C">
        <w:rPr>
          <w:rFonts w:eastAsia="Arial" w:cstheme="minorHAnsi"/>
        </w:rPr>
        <w:t xml:space="preserve">the </w:t>
      </w:r>
      <w:r w:rsidR="00166B3C" w:rsidRPr="00A13AB6">
        <w:rPr>
          <w:rFonts w:eastAsia="Arial" w:cstheme="minorHAnsi"/>
        </w:rPr>
        <w:t>Beta</w:t>
      </w:r>
      <w:r w:rsidRPr="00A13AB6">
        <w:rPr>
          <w:rFonts w:eastAsia="Arial" w:cstheme="minorHAnsi"/>
        </w:rPr>
        <w:t xml:space="preserve"> to determine the COFR as interest rates rise and fall.</w:t>
      </w:r>
      <w:r w:rsidR="00166B3C">
        <w:rPr>
          <w:rFonts w:eastAsia="Arial" w:cstheme="minorHAnsi"/>
        </w:rPr>
        <w:t xml:space="preserve"> </w:t>
      </w:r>
      <w:r w:rsidRPr="00A13AB6">
        <w:rPr>
          <w:rFonts w:eastAsia="Arial" w:cstheme="minorHAnsi"/>
        </w:rPr>
        <w:t xml:space="preserve">Note: </w:t>
      </w:r>
      <w:r w:rsidR="00166B3C">
        <w:rPr>
          <w:rFonts w:eastAsia="Arial" w:cstheme="minorHAnsi"/>
        </w:rPr>
        <w:t>i</w:t>
      </w:r>
      <w:r w:rsidRPr="00A13AB6">
        <w:rPr>
          <w:rFonts w:eastAsia="Arial" w:cstheme="minorHAnsi"/>
        </w:rPr>
        <w:t>n the case this correlation is negative, we say the correlation is indeterminate and set the Beta to zero.</w:t>
      </w:r>
    </w:p>
    <w:p w14:paraId="448659E7" w14:textId="77777777" w:rsidR="00A13AB6" w:rsidRPr="00A13AB6" w:rsidRDefault="00A13AB6" w:rsidP="00A13AB6">
      <w:pPr>
        <w:spacing w:after="0"/>
        <w:ind w:right="810"/>
        <w:rPr>
          <w:rFonts w:eastAsia="Arial" w:cstheme="minorHAnsi"/>
        </w:rPr>
      </w:pPr>
    </w:p>
    <w:p w14:paraId="7133C8C8" w14:textId="476F87B9" w:rsidR="00A13AB6" w:rsidRPr="00A13AB6" w:rsidRDefault="00F13550" w:rsidP="00A13AB6">
      <w:pPr>
        <w:spacing w:after="0"/>
        <w:ind w:right="810"/>
        <w:rPr>
          <w:rFonts w:eastAsia="Arial" w:cstheme="minorHAnsi"/>
        </w:rPr>
      </w:pPr>
      <w:r>
        <w:rPr>
          <w:rFonts w:eastAsia="Arial" w:cstheme="minorHAnsi"/>
        </w:rPr>
        <w:t>While t</w:t>
      </w:r>
      <w:r w:rsidR="00A13AB6" w:rsidRPr="00A13AB6">
        <w:rPr>
          <w:rFonts w:eastAsia="Arial" w:cstheme="minorHAnsi"/>
        </w:rPr>
        <w:t xml:space="preserve">he system uses history to develop </w:t>
      </w:r>
      <w:r>
        <w:rPr>
          <w:rFonts w:eastAsia="Arial" w:cstheme="minorHAnsi"/>
        </w:rPr>
        <w:t>B</w:t>
      </w:r>
      <w:r w:rsidR="00A13AB6" w:rsidRPr="00A13AB6">
        <w:rPr>
          <w:rFonts w:eastAsia="Arial" w:cstheme="minorHAnsi"/>
        </w:rPr>
        <w:t>etas</w:t>
      </w:r>
      <w:r>
        <w:rPr>
          <w:rFonts w:eastAsia="Arial" w:cstheme="minorHAnsi"/>
        </w:rPr>
        <w:t xml:space="preserve">, </w:t>
      </w:r>
      <w:r w:rsidR="00A13AB6" w:rsidRPr="00A13AB6">
        <w:rPr>
          <w:rFonts w:eastAsia="Arial" w:cstheme="minorHAnsi"/>
        </w:rPr>
        <w:t>COFR</w:t>
      </w:r>
      <w:r w:rsidR="00166B3C">
        <w:rPr>
          <w:rFonts w:eastAsia="Arial" w:cstheme="minorHAnsi"/>
        </w:rPr>
        <w:t xml:space="preserve"> is</w:t>
      </w:r>
      <w:r w:rsidR="00A13AB6" w:rsidRPr="00A13AB6">
        <w:rPr>
          <w:rFonts w:eastAsia="Arial" w:cstheme="minorHAnsi"/>
        </w:rPr>
        <w:t xml:space="preserve"> at the discretion of the bank and is a product of many factors including both rate change and competition. It is important for </w:t>
      </w:r>
      <w:r w:rsidR="00166B3C">
        <w:rPr>
          <w:rFonts w:eastAsia="Arial" w:cstheme="minorHAnsi"/>
        </w:rPr>
        <w:t xml:space="preserve">RiskGPS </w:t>
      </w:r>
      <w:r w:rsidR="00A13AB6" w:rsidRPr="00A13AB6">
        <w:rPr>
          <w:rFonts w:eastAsia="Arial" w:cstheme="minorHAnsi"/>
        </w:rPr>
        <w:t>user</w:t>
      </w:r>
      <w:r w:rsidR="00166B3C">
        <w:rPr>
          <w:rFonts w:eastAsia="Arial" w:cstheme="minorHAnsi"/>
        </w:rPr>
        <w:t>s</w:t>
      </w:r>
      <w:r w:rsidR="00A13AB6" w:rsidRPr="00A13AB6">
        <w:rPr>
          <w:rFonts w:eastAsia="Arial" w:cstheme="minorHAnsi"/>
        </w:rPr>
        <w:t xml:space="preserve"> to determine the </w:t>
      </w:r>
      <w:r>
        <w:rPr>
          <w:rFonts w:eastAsia="Arial" w:cstheme="minorHAnsi"/>
        </w:rPr>
        <w:t>reasonableness</w:t>
      </w:r>
      <w:r w:rsidR="00A13AB6" w:rsidRPr="00A13AB6">
        <w:rPr>
          <w:rFonts w:eastAsia="Arial" w:cstheme="minorHAnsi"/>
        </w:rPr>
        <w:t xml:space="preserve"> of the</w:t>
      </w:r>
      <w:r>
        <w:rPr>
          <w:rFonts w:eastAsia="Arial" w:cstheme="minorHAnsi"/>
        </w:rPr>
        <w:t xml:space="preserve"> default</w:t>
      </w:r>
      <w:r w:rsidR="00A13AB6" w:rsidRPr="00A13AB6">
        <w:rPr>
          <w:rFonts w:eastAsia="Arial" w:cstheme="minorHAnsi"/>
        </w:rPr>
        <w:t xml:space="preserve"> Beta approximations. </w:t>
      </w:r>
      <w:r>
        <w:rPr>
          <w:rFonts w:eastAsia="Arial" w:cstheme="minorHAnsi"/>
        </w:rPr>
        <w:t xml:space="preserve">Users can modify these assumptions and </w:t>
      </w:r>
      <w:r w:rsidR="00A13AB6" w:rsidRPr="00A13AB6">
        <w:rPr>
          <w:rFonts w:eastAsia="Arial" w:cstheme="minorHAnsi"/>
        </w:rPr>
        <w:t xml:space="preserve">incorporate all known factors </w:t>
      </w:r>
      <w:r>
        <w:rPr>
          <w:rFonts w:eastAsia="Arial" w:cstheme="minorHAnsi"/>
        </w:rPr>
        <w:t>into their</w:t>
      </w:r>
      <w:r w:rsidR="00A13AB6" w:rsidRPr="00A13AB6">
        <w:rPr>
          <w:rFonts w:eastAsia="Arial" w:cstheme="minorHAnsi"/>
        </w:rPr>
        <w:t xml:space="preserve"> Beta assumptions. </w:t>
      </w:r>
    </w:p>
    <w:p w14:paraId="107AACE0" w14:textId="77777777" w:rsidR="002311BB" w:rsidRDefault="002311BB" w:rsidP="00A13AB6">
      <w:pPr>
        <w:spacing w:after="0"/>
        <w:ind w:right="810"/>
        <w:rPr>
          <w:rFonts w:eastAsia="Arial" w:cstheme="minorHAnsi"/>
          <w:b/>
          <w:color w:val="000000" w:themeColor="text1"/>
          <w:position w:val="-1"/>
        </w:rPr>
      </w:pPr>
    </w:p>
    <w:p w14:paraId="2FD59F11" w14:textId="3691BFDF" w:rsidR="00A13AB6" w:rsidRPr="00A13AB6" w:rsidRDefault="00A13AB6" w:rsidP="00A13AB6">
      <w:pPr>
        <w:spacing w:after="0"/>
        <w:ind w:right="810"/>
        <w:rPr>
          <w:rFonts w:eastAsia="Arial" w:cstheme="minorHAnsi"/>
          <w:b/>
          <w:color w:val="000000" w:themeColor="text1"/>
          <w:position w:val="-1"/>
        </w:rPr>
      </w:pPr>
      <w:r w:rsidRPr="00A13AB6">
        <w:rPr>
          <w:rFonts w:eastAsia="Arial" w:cstheme="minorHAnsi"/>
          <w:b/>
          <w:color w:val="000000" w:themeColor="text1"/>
          <w:position w:val="-1"/>
        </w:rPr>
        <w:t>Estimating the Beta</w:t>
      </w:r>
    </w:p>
    <w:p w14:paraId="1B3A5A6B" w14:textId="54B95692" w:rsidR="00A13AB6" w:rsidRDefault="00A13AB6" w:rsidP="00A13AB6">
      <w:pPr>
        <w:spacing w:after="0"/>
        <w:ind w:right="810"/>
        <w:rPr>
          <w:rFonts w:eastAsia="Arial" w:cstheme="minorHAnsi"/>
        </w:rPr>
      </w:pPr>
      <w:r w:rsidRPr="00166B3C">
        <w:rPr>
          <w:rFonts w:eastAsia="Arial" w:cstheme="minorHAnsi"/>
          <w:i/>
          <w:iCs/>
        </w:rPr>
        <w:t xml:space="preserve">The best way to estimate how the COFR will change is to ask the question, if interest rates were to rise 100bp over the next year, how much would the bank change its COFR? The same question is valid for falling rate conditions. </w:t>
      </w:r>
      <w:r w:rsidRPr="00A13AB6">
        <w:rPr>
          <w:rFonts w:eastAsia="Arial" w:cstheme="minorHAnsi"/>
        </w:rPr>
        <w:t xml:space="preserve">This value is essentially the Beta for that account. For example, if you think that if interest rates were to rise 100bp and your COFR on an account would increase 25bp, then the Beta is 25%. </w:t>
      </w:r>
    </w:p>
    <w:p w14:paraId="495A3438" w14:textId="77777777" w:rsidR="00166B3C" w:rsidRPr="00821626" w:rsidRDefault="00166B3C" w:rsidP="00A13AB6">
      <w:pPr>
        <w:spacing w:after="0"/>
        <w:ind w:right="810"/>
        <w:rPr>
          <w:rFonts w:eastAsia="Arial" w:cstheme="minorHAnsi"/>
        </w:rPr>
      </w:pPr>
    </w:p>
    <w:p w14:paraId="28AB72C5" w14:textId="77777777" w:rsidR="00A13AB6" w:rsidRPr="00A13AB6" w:rsidRDefault="00A13AB6" w:rsidP="00A13AB6">
      <w:pPr>
        <w:spacing w:after="0"/>
        <w:ind w:right="810"/>
        <w:rPr>
          <w:rFonts w:eastAsia="Arial" w:cstheme="minorHAnsi"/>
          <w:color w:val="000000" w:themeColor="text1"/>
        </w:rPr>
      </w:pPr>
      <w:r w:rsidRPr="00A13AB6">
        <w:rPr>
          <w:rFonts w:eastAsia="Arial" w:cstheme="minorHAnsi"/>
          <w:b/>
          <w:color w:val="000000" w:themeColor="text1"/>
        </w:rPr>
        <w:t>Rate</w:t>
      </w:r>
      <w:r w:rsidRPr="00A13AB6">
        <w:rPr>
          <w:rFonts w:cstheme="minorHAnsi"/>
          <w:b/>
          <w:color w:val="000000" w:themeColor="text1"/>
          <w:spacing w:val="16"/>
        </w:rPr>
        <w:t xml:space="preserve"> </w:t>
      </w:r>
      <w:r w:rsidRPr="00A13AB6">
        <w:rPr>
          <w:rFonts w:eastAsia="Arial" w:cstheme="minorHAnsi"/>
          <w:b/>
          <w:color w:val="000000" w:themeColor="text1"/>
        </w:rPr>
        <w:t>Sensitivity</w:t>
      </w:r>
      <w:r w:rsidRPr="00A13AB6">
        <w:rPr>
          <w:rFonts w:cstheme="minorHAnsi"/>
          <w:b/>
          <w:color w:val="000000" w:themeColor="text1"/>
          <w:spacing w:val="31"/>
        </w:rPr>
        <w:t xml:space="preserve"> </w:t>
      </w:r>
      <w:r w:rsidRPr="00A13AB6">
        <w:rPr>
          <w:rFonts w:eastAsia="Arial" w:cstheme="minorHAnsi"/>
          <w:b/>
          <w:color w:val="000000" w:themeColor="text1"/>
          <w:w w:val="102"/>
        </w:rPr>
        <w:t>Gap</w:t>
      </w:r>
    </w:p>
    <w:p w14:paraId="71AD674D" w14:textId="22663585" w:rsidR="00A13AB6" w:rsidRPr="00A13AB6" w:rsidRDefault="00A13AB6" w:rsidP="00A13AB6">
      <w:pPr>
        <w:spacing w:after="0"/>
        <w:ind w:right="810"/>
        <w:rPr>
          <w:rFonts w:eastAsia="Arial" w:cstheme="minorHAnsi"/>
        </w:rPr>
      </w:pPr>
      <w:r w:rsidRPr="00A13AB6">
        <w:rPr>
          <w:rFonts w:eastAsia="Arial" w:cstheme="minorHAnsi"/>
        </w:rPr>
        <w:t xml:space="preserve">The first requirement is to adjust the Call Report amortizing accounts to cash flow. These include the MBS &amp; CMO as well as the Loan accounts. Following amortization, prepayment speeds are applied. Finally, the Floating Rate Loans are estimated by subtracting the averages maturity from Loans Repricing &lt; 3 months. </w:t>
      </w:r>
    </w:p>
    <w:p w14:paraId="2460D721" w14:textId="77777777" w:rsidR="00A13AB6" w:rsidRPr="00A13AB6" w:rsidRDefault="00A13AB6" w:rsidP="00A13AB6">
      <w:pPr>
        <w:spacing w:after="0"/>
        <w:ind w:right="810"/>
        <w:rPr>
          <w:rFonts w:eastAsia="Arial" w:cstheme="minorHAnsi"/>
        </w:rPr>
      </w:pPr>
    </w:p>
    <w:p w14:paraId="3229E508" w14:textId="244B0E1B" w:rsidR="00A13AB6" w:rsidRPr="00A13AB6" w:rsidRDefault="00A13AB6" w:rsidP="00A13AB6">
      <w:pPr>
        <w:spacing w:after="0"/>
        <w:ind w:right="810"/>
        <w:rPr>
          <w:rFonts w:eastAsia="Arial" w:cstheme="minorHAnsi"/>
        </w:rPr>
      </w:pPr>
      <w:r w:rsidRPr="00A13AB6">
        <w:rPr>
          <w:rFonts w:eastAsia="Arial" w:cstheme="minorHAnsi"/>
        </w:rPr>
        <w:t xml:space="preserve">Non-Maturing Deposits are distributed using the Beta Factors calculated on </w:t>
      </w:r>
      <w:r w:rsidR="00B51A60">
        <w:rPr>
          <w:rFonts w:eastAsia="Arial" w:cstheme="minorHAnsi"/>
        </w:rPr>
        <w:t xml:space="preserve">page 13 of the RiskGPS report. </w:t>
      </w:r>
      <w:r w:rsidRPr="00A13AB6">
        <w:rPr>
          <w:rFonts w:eastAsia="Arial" w:cstheme="minorHAnsi"/>
        </w:rPr>
        <w:t xml:space="preserve">The Beta reflects the bank's propensity to adjust offering rates as interest rates change. These </w:t>
      </w:r>
      <w:r w:rsidRPr="00A13AB6">
        <w:rPr>
          <w:rFonts w:eastAsia="Arial" w:cstheme="minorHAnsi"/>
        </w:rPr>
        <w:lastRenderedPageBreak/>
        <w:t xml:space="preserve">Betas should be reviewed and adjusted in the Assumption/Gap section of the program. CD maturities are taken from the Call Report. The user is advised to review these adjustments and make </w:t>
      </w:r>
      <w:r w:rsidR="00166B3C">
        <w:rPr>
          <w:rFonts w:eastAsia="Arial" w:cstheme="minorHAnsi"/>
        </w:rPr>
        <w:t>refinements</w:t>
      </w:r>
      <w:r w:rsidRPr="00A13AB6">
        <w:rPr>
          <w:rFonts w:eastAsia="Arial" w:cstheme="minorHAnsi"/>
        </w:rPr>
        <w:t xml:space="preserve"> using the Assumptions </w:t>
      </w:r>
      <w:r w:rsidR="00166B3C">
        <w:rPr>
          <w:rFonts w:eastAsia="Arial" w:cstheme="minorHAnsi"/>
        </w:rPr>
        <w:t>screens (access</w:t>
      </w:r>
      <w:r w:rsidR="00B51A60">
        <w:rPr>
          <w:rFonts w:eastAsia="Arial" w:cstheme="minorHAnsi"/>
        </w:rPr>
        <w:t>ed</w:t>
      </w:r>
      <w:r w:rsidR="00166B3C">
        <w:rPr>
          <w:rFonts w:eastAsia="Arial" w:cstheme="minorHAnsi"/>
        </w:rPr>
        <w:t xml:space="preserve"> through the main menu)</w:t>
      </w:r>
      <w:r w:rsidRPr="00A13AB6">
        <w:rPr>
          <w:rFonts w:eastAsia="Arial" w:cstheme="minorHAnsi"/>
        </w:rPr>
        <w:t>.</w:t>
      </w:r>
    </w:p>
    <w:p w14:paraId="0C4427CB" w14:textId="77777777" w:rsidR="00A13AB6" w:rsidRPr="00A13AB6" w:rsidRDefault="00A13AB6" w:rsidP="00A13AB6">
      <w:pPr>
        <w:spacing w:after="0"/>
        <w:ind w:right="810"/>
        <w:rPr>
          <w:rFonts w:eastAsia="Arial" w:cstheme="minorHAnsi"/>
          <w:b/>
          <w:color w:val="1F4E9C"/>
        </w:rPr>
      </w:pPr>
    </w:p>
    <w:p w14:paraId="2DB75FF4" w14:textId="3A2787D8" w:rsidR="00A13AB6" w:rsidRPr="00A13AB6" w:rsidRDefault="00A13AB6" w:rsidP="00A13AB6">
      <w:pPr>
        <w:spacing w:after="0"/>
        <w:ind w:right="810"/>
        <w:rPr>
          <w:rFonts w:eastAsia="Arial" w:cstheme="minorHAnsi"/>
          <w:color w:val="000000" w:themeColor="text1"/>
        </w:rPr>
      </w:pPr>
      <w:r w:rsidRPr="00A13AB6">
        <w:rPr>
          <w:rFonts w:eastAsia="Arial" w:cstheme="minorHAnsi"/>
          <w:b/>
          <w:color w:val="000000" w:themeColor="text1"/>
        </w:rPr>
        <w:t>Net</w:t>
      </w:r>
      <w:r w:rsidRPr="00A13AB6">
        <w:rPr>
          <w:rFonts w:cstheme="minorHAnsi"/>
          <w:b/>
          <w:color w:val="000000" w:themeColor="text1"/>
          <w:spacing w:val="14"/>
        </w:rPr>
        <w:t xml:space="preserve"> </w:t>
      </w:r>
      <w:r w:rsidRPr="00A13AB6">
        <w:rPr>
          <w:rFonts w:eastAsia="Arial" w:cstheme="minorHAnsi"/>
          <w:b/>
          <w:color w:val="000000" w:themeColor="text1"/>
        </w:rPr>
        <w:t>Interest</w:t>
      </w:r>
      <w:r w:rsidRPr="00A13AB6">
        <w:rPr>
          <w:rFonts w:cstheme="minorHAnsi"/>
          <w:b/>
          <w:color w:val="000000" w:themeColor="text1"/>
          <w:spacing w:val="24"/>
        </w:rPr>
        <w:t xml:space="preserve"> </w:t>
      </w:r>
      <w:r w:rsidRPr="00A13AB6">
        <w:rPr>
          <w:rFonts w:eastAsia="Arial" w:cstheme="minorHAnsi"/>
          <w:b/>
          <w:color w:val="000000" w:themeColor="text1"/>
        </w:rPr>
        <w:t>Margin</w:t>
      </w:r>
      <w:r w:rsidRPr="00A13AB6">
        <w:rPr>
          <w:rFonts w:cstheme="minorHAnsi"/>
          <w:b/>
          <w:color w:val="000000" w:themeColor="text1"/>
          <w:spacing w:val="22"/>
        </w:rPr>
        <w:t xml:space="preserve"> </w:t>
      </w:r>
      <w:r w:rsidRPr="00A13AB6">
        <w:rPr>
          <w:rFonts w:eastAsia="Arial" w:cstheme="minorHAnsi"/>
          <w:b/>
          <w:color w:val="000000" w:themeColor="text1"/>
        </w:rPr>
        <w:t>Simulations</w:t>
      </w:r>
      <w:r w:rsidRPr="00A13AB6">
        <w:rPr>
          <w:rFonts w:cstheme="minorHAnsi"/>
          <w:b/>
          <w:color w:val="000000" w:themeColor="text1"/>
          <w:spacing w:val="34"/>
        </w:rPr>
        <w:t xml:space="preserve"> </w:t>
      </w:r>
      <w:r w:rsidRPr="00A13AB6">
        <w:rPr>
          <w:rFonts w:eastAsia="Arial" w:cstheme="minorHAnsi"/>
          <w:b/>
          <w:color w:val="000000" w:themeColor="text1"/>
        </w:rPr>
        <w:t>(1</w:t>
      </w:r>
      <w:r w:rsidR="00166B3C">
        <w:rPr>
          <w:rFonts w:cstheme="minorHAnsi"/>
          <w:b/>
          <w:color w:val="000000" w:themeColor="text1"/>
          <w:spacing w:val="6"/>
        </w:rPr>
        <w:t>-</w:t>
      </w:r>
      <w:r w:rsidRPr="00A13AB6">
        <w:rPr>
          <w:rFonts w:eastAsia="Arial" w:cstheme="minorHAnsi"/>
          <w:b/>
          <w:color w:val="000000" w:themeColor="text1"/>
          <w:spacing w:val="-13"/>
        </w:rPr>
        <w:t>Y</w:t>
      </w:r>
      <w:r w:rsidRPr="00A13AB6">
        <w:rPr>
          <w:rFonts w:eastAsia="Arial" w:cstheme="minorHAnsi"/>
          <w:b/>
          <w:color w:val="000000" w:themeColor="text1"/>
        </w:rPr>
        <w:t>ear</w:t>
      </w:r>
      <w:r w:rsidRPr="00A13AB6">
        <w:rPr>
          <w:rFonts w:cstheme="minorHAnsi"/>
          <w:b/>
          <w:color w:val="000000" w:themeColor="text1"/>
          <w:spacing w:val="16"/>
        </w:rPr>
        <w:t xml:space="preserve"> </w:t>
      </w:r>
      <w:r w:rsidRPr="00A13AB6">
        <w:rPr>
          <w:rFonts w:eastAsia="Arial" w:cstheme="minorHAnsi"/>
          <w:b/>
          <w:color w:val="000000" w:themeColor="text1"/>
          <w:w w:val="102"/>
        </w:rPr>
        <w:t>Rate</w:t>
      </w:r>
      <w:r w:rsidRPr="00A13AB6">
        <w:rPr>
          <w:rFonts w:cstheme="minorHAnsi"/>
          <w:b/>
          <w:color w:val="000000" w:themeColor="text1"/>
          <w:spacing w:val="5"/>
        </w:rPr>
        <w:t xml:space="preserve"> </w:t>
      </w:r>
      <w:r w:rsidRPr="00A13AB6">
        <w:rPr>
          <w:rFonts w:eastAsia="Arial" w:cstheme="minorHAnsi"/>
          <w:b/>
          <w:color w:val="000000" w:themeColor="text1"/>
          <w:w w:val="102"/>
        </w:rPr>
        <w:t>Shock)</w:t>
      </w:r>
    </w:p>
    <w:p w14:paraId="6EE8D8DF" w14:textId="42498A00" w:rsidR="00A13AB6" w:rsidRPr="00A13AB6" w:rsidRDefault="00A13AB6" w:rsidP="00A13AB6">
      <w:pPr>
        <w:spacing w:after="0"/>
        <w:ind w:right="810"/>
        <w:rPr>
          <w:rFonts w:eastAsia="Arial" w:cstheme="minorHAnsi"/>
        </w:rPr>
      </w:pPr>
      <w:r w:rsidRPr="00A13AB6">
        <w:rPr>
          <w:rFonts w:eastAsia="Arial" w:cstheme="minorHAnsi"/>
        </w:rPr>
        <w:t xml:space="preserve">Gap Analysis provides the basis for more detailed analysis in </w:t>
      </w:r>
      <w:r w:rsidR="00166B3C">
        <w:rPr>
          <w:rFonts w:eastAsia="Arial" w:cstheme="minorHAnsi"/>
        </w:rPr>
        <w:t>RiskGPS</w:t>
      </w:r>
      <w:r w:rsidRPr="00A13AB6">
        <w:rPr>
          <w:rFonts w:eastAsia="Arial" w:cstheme="minorHAnsi"/>
        </w:rPr>
        <w:t xml:space="preserve">. </w:t>
      </w:r>
      <w:r w:rsidR="00166B3C">
        <w:rPr>
          <w:rFonts w:eastAsia="Arial" w:cstheme="minorHAnsi"/>
        </w:rPr>
        <w:t>Gap</w:t>
      </w:r>
      <w:r w:rsidRPr="00A13AB6">
        <w:rPr>
          <w:rFonts w:eastAsia="Arial" w:cstheme="minorHAnsi"/>
        </w:rPr>
        <w:t xml:space="preserve"> results are popular rate risk indicators. However, to truly evaluate the impact of rate change on income, simulation is the best technique because variables are changed for the various rate conditions. Each category's interest change is calculated as rates move up and down. In addition, the </w:t>
      </w:r>
      <w:r w:rsidR="00F20ED5">
        <w:rPr>
          <w:rFonts w:eastAsia="Arial" w:cstheme="minorHAnsi"/>
        </w:rPr>
        <w:t>p</w:t>
      </w:r>
      <w:r w:rsidR="00166B3C" w:rsidRPr="00A13AB6">
        <w:rPr>
          <w:rFonts w:eastAsia="Arial" w:cstheme="minorHAnsi"/>
        </w:rPr>
        <w:t>repayment</w:t>
      </w:r>
      <w:r w:rsidRPr="00A13AB6">
        <w:rPr>
          <w:rFonts w:eastAsia="Arial" w:cstheme="minorHAnsi"/>
        </w:rPr>
        <w:t xml:space="preserve"> </w:t>
      </w:r>
      <w:r w:rsidR="00166B3C">
        <w:rPr>
          <w:rFonts w:eastAsia="Arial" w:cstheme="minorHAnsi"/>
        </w:rPr>
        <w:t xml:space="preserve">speeds </w:t>
      </w:r>
      <w:r w:rsidRPr="00A13AB6">
        <w:rPr>
          <w:rFonts w:eastAsia="Arial" w:cstheme="minorHAnsi"/>
        </w:rPr>
        <w:t>and repricing speeds are changed.</w:t>
      </w:r>
    </w:p>
    <w:p w14:paraId="75D4DCEB" w14:textId="77777777" w:rsidR="00A13AB6" w:rsidRPr="00A13AB6" w:rsidRDefault="00A13AB6" w:rsidP="00A13AB6">
      <w:pPr>
        <w:spacing w:after="0"/>
        <w:ind w:right="810"/>
        <w:rPr>
          <w:rFonts w:eastAsia="Arial" w:cstheme="minorHAnsi"/>
        </w:rPr>
      </w:pPr>
    </w:p>
    <w:p w14:paraId="022C1198" w14:textId="21E14D79" w:rsidR="00A13AB6" w:rsidRPr="00A13AB6" w:rsidRDefault="00A13AB6" w:rsidP="00A13AB6">
      <w:pPr>
        <w:spacing w:after="0"/>
        <w:ind w:right="810"/>
        <w:rPr>
          <w:rFonts w:eastAsia="Arial" w:cstheme="minorHAnsi"/>
        </w:rPr>
      </w:pPr>
      <w:r w:rsidRPr="00166B3C">
        <w:rPr>
          <w:rFonts w:eastAsia="Arial" w:cstheme="minorHAnsi"/>
          <w:i/>
          <w:iCs/>
        </w:rPr>
        <w:t>Rate Shock is a method for stress testing Net Interest Margin (NIM) over the next four quarters under several rate change levels.</w:t>
      </w:r>
      <w:r w:rsidRPr="00A13AB6">
        <w:rPr>
          <w:rFonts w:eastAsia="Arial" w:cstheme="minorHAnsi"/>
        </w:rPr>
        <w:t xml:space="preserve"> These levels span 100bp increments</w:t>
      </w:r>
      <w:r w:rsidR="00166B3C">
        <w:rPr>
          <w:rFonts w:eastAsia="Arial" w:cstheme="minorHAnsi"/>
        </w:rPr>
        <w:t xml:space="preserve">, </w:t>
      </w:r>
      <w:r w:rsidRPr="00A13AB6">
        <w:rPr>
          <w:rFonts w:eastAsia="Arial" w:cstheme="minorHAnsi"/>
        </w:rPr>
        <w:t xml:space="preserve">up and down </w:t>
      </w:r>
      <w:r w:rsidR="00166B3C">
        <w:rPr>
          <w:rFonts w:eastAsia="Arial" w:cstheme="minorHAnsi"/>
        </w:rPr>
        <w:t xml:space="preserve">400, </w:t>
      </w:r>
      <w:r w:rsidRPr="00A13AB6">
        <w:rPr>
          <w:rFonts w:eastAsia="Arial" w:cstheme="minorHAnsi"/>
        </w:rPr>
        <w:t xml:space="preserve">from the current interest rates. </w:t>
      </w:r>
      <w:r w:rsidR="00166B3C" w:rsidRPr="00A13AB6">
        <w:rPr>
          <w:rFonts w:eastAsia="Arial" w:cstheme="minorHAnsi"/>
        </w:rPr>
        <w:t>To</w:t>
      </w:r>
      <w:r w:rsidRPr="00A13AB6">
        <w:rPr>
          <w:rFonts w:eastAsia="Arial" w:cstheme="minorHAnsi"/>
        </w:rPr>
        <w:t xml:space="preserve"> simulate activity, maturing balances are replaced with </w:t>
      </w:r>
      <w:r w:rsidR="00F20ED5" w:rsidRPr="00A13AB6">
        <w:rPr>
          <w:rFonts w:eastAsia="Arial" w:cstheme="minorHAnsi"/>
        </w:rPr>
        <w:t>new</w:t>
      </w:r>
      <w:r w:rsidRPr="00A13AB6">
        <w:rPr>
          <w:rFonts w:eastAsia="Arial" w:cstheme="minorHAnsi"/>
        </w:rPr>
        <w:t xml:space="preserve"> balances at the new rate level, and repricing balances are adjusted to the new rate shock level. The interest is recalculated for each level along with the new average yield. NIM is then calculated, and a margin risk profile is developed. </w:t>
      </w:r>
    </w:p>
    <w:p w14:paraId="6FABAF2F" w14:textId="77777777" w:rsidR="00A13AB6" w:rsidRPr="00A13AB6" w:rsidRDefault="00A13AB6" w:rsidP="00A13AB6">
      <w:pPr>
        <w:spacing w:after="0"/>
        <w:ind w:right="810"/>
        <w:rPr>
          <w:rFonts w:eastAsia="Arial" w:cstheme="minorHAnsi"/>
        </w:rPr>
      </w:pPr>
    </w:p>
    <w:p w14:paraId="286C9C68" w14:textId="77777777" w:rsidR="00A13AB6" w:rsidRPr="00A13AB6" w:rsidRDefault="00A13AB6" w:rsidP="00A13AB6">
      <w:pPr>
        <w:spacing w:after="0"/>
        <w:ind w:right="810"/>
        <w:rPr>
          <w:rFonts w:eastAsia="Arial" w:cstheme="minorHAnsi"/>
        </w:rPr>
      </w:pPr>
      <w:r w:rsidRPr="00A13AB6">
        <w:rPr>
          <w:rFonts w:eastAsia="Arial" w:cstheme="minorHAnsi"/>
        </w:rPr>
        <w:t>When the Interest Income is translated into Net Interest Margin as a % of current Earning Assets, we can compare the simulated margins over rate changes to the bank's minimum required margin found in Risk Tolerance.</w:t>
      </w:r>
    </w:p>
    <w:p w14:paraId="69B915C6" w14:textId="77777777" w:rsidR="00A13AB6" w:rsidRPr="00A13AB6" w:rsidRDefault="00A13AB6" w:rsidP="00A13AB6">
      <w:pPr>
        <w:spacing w:after="0"/>
        <w:ind w:right="810"/>
        <w:rPr>
          <w:rFonts w:eastAsia="Arial" w:cstheme="minorHAnsi"/>
        </w:rPr>
      </w:pPr>
    </w:p>
    <w:p w14:paraId="7C853E85" w14:textId="7EF55ACE" w:rsidR="00A13AB6" w:rsidRPr="00A13AB6" w:rsidRDefault="00A13AB6" w:rsidP="00A13AB6">
      <w:pPr>
        <w:spacing w:after="0"/>
        <w:ind w:right="810"/>
        <w:rPr>
          <w:rFonts w:eastAsia="Arial" w:cstheme="minorHAnsi"/>
          <w:b/>
          <w:color w:val="000000" w:themeColor="text1"/>
          <w:w w:val="102"/>
        </w:rPr>
      </w:pPr>
      <w:r w:rsidRPr="00A13AB6">
        <w:rPr>
          <w:rFonts w:eastAsia="Arial" w:cstheme="minorHAnsi"/>
          <w:b/>
          <w:color w:val="000000" w:themeColor="text1"/>
        </w:rPr>
        <w:t>Net</w:t>
      </w:r>
      <w:r w:rsidRPr="00A13AB6">
        <w:rPr>
          <w:rFonts w:cstheme="minorHAnsi"/>
          <w:b/>
          <w:color w:val="000000" w:themeColor="text1"/>
          <w:spacing w:val="14"/>
        </w:rPr>
        <w:t xml:space="preserve"> </w:t>
      </w:r>
      <w:r w:rsidRPr="00A13AB6">
        <w:rPr>
          <w:rFonts w:eastAsia="Arial" w:cstheme="minorHAnsi"/>
          <w:b/>
          <w:color w:val="000000" w:themeColor="text1"/>
        </w:rPr>
        <w:t>Interest</w:t>
      </w:r>
      <w:r w:rsidRPr="00A13AB6">
        <w:rPr>
          <w:rFonts w:cstheme="minorHAnsi"/>
          <w:b/>
          <w:color w:val="000000" w:themeColor="text1"/>
          <w:spacing w:val="24"/>
        </w:rPr>
        <w:t xml:space="preserve"> </w:t>
      </w:r>
      <w:r w:rsidRPr="00A13AB6">
        <w:rPr>
          <w:rFonts w:eastAsia="Arial" w:cstheme="minorHAnsi"/>
          <w:b/>
          <w:color w:val="000000" w:themeColor="text1"/>
        </w:rPr>
        <w:t>Margin</w:t>
      </w:r>
      <w:r w:rsidRPr="00A13AB6">
        <w:rPr>
          <w:rFonts w:cstheme="minorHAnsi"/>
          <w:b/>
          <w:color w:val="000000" w:themeColor="text1"/>
          <w:spacing w:val="22"/>
        </w:rPr>
        <w:t xml:space="preserve"> </w:t>
      </w:r>
      <w:r w:rsidRPr="00A13AB6">
        <w:rPr>
          <w:rFonts w:eastAsia="Arial" w:cstheme="minorHAnsi"/>
          <w:b/>
          <w:color w:val="000000" w:themeColor="text1"/>
        </w:rPr>
        <w:t>Simulations</w:t>
      </w:r>
      <w:r w:rsidRPr="00A13AB6">
        <w:rPr>
          <w:rFonts w:cstheme="minorHAnsi"/>
          <w:b/>
          <w:color w:val="000000" w:themeColor="text1"/>
          <w:spacing w:val="34"/>
        </w:rPr>
        <w:t xml:space="preserve"> </w:t>
      </w:r>
      <w:r w:rsidRPr="00A13AB6">
        <w:rPr>
          <w:rFonts w:eastAsia="Arial" w:cstheme="minorHAnsi"/>
          <w:b/>
          <w:color w:val="000000" w:themeColor="text1"/>
        </w:rPr>
        <w:t>(2</w:t>
      </w:r>
      <w:r w:rsidR="00166B3C">
        <w:rPr>
          <w:rFonts w:cstheme="minorHAnsi"/>
          <w:b/>
          <w:color w:val="000000" w:themeColor="text1"/>
          <w:spacing w:val="6"/>
        </w:rPr>
        <w:t>-</w:t>
      </w:r>
      <w:r w:rsidRPr="00A13AB6">
        <w:rPr>
          <w:rFonts w:eastAsia="Arial" w:cstheme="minorHAnsi"/>
          <w:b/>
          <w:color w:val="000000" w:themeColor="text1"/>
          <w:spacing w:val="-13"/>
        </w:rPr>
        <w:t>Y</w:t>
      </w:r>
      <w:r w:rsidRPr="00A13AB6">
        <w:rPr>
          <w:rFonts w:eastAsia="Arial" w:cstheme="minorHAnsi"/>
          <w:b/>
          <w:color w:val="000000" w:themeColor="text1"/>
        </w:rPr>
        <w:t>ear</w:t>
      </w:r>
      <w:r w:rsidRPr="00A13AB6">
        <w:rPr>
          <w:rFonts w:cstheme="minorHAnsi"/>
          <w:b/>
          <w:color w:val="000000" w:themeColor="text1"/>
          <w:spacing w:val="16"/>
        </w:rPr>
        <w:t xml:space="preserve"> </w:t>
      </w:r>
      <w:r w:rsidRPr="00A13AB6">
        <w:rPr>
          <w:rFonts w:eastAsia="Arial" w:cstheme="minorHAnsi"/>
          <w:b/>
          <w:color w:val="000000" w:themeColor="text1"/>
          <w:w w:val="102"/>
        </w:rPr>
        <w:t>Rate</w:t>
      </w:r>
      <w:r w:rsidRPr="00A13AB6">
        <w:rPr>
          <w:rFonts w:cstheme="minorHAnsi"/>
          <w:b/>
          <w:color w:val="000000" w:themeColor="text1"/>
          <w:spacing w:val="5"/>
        </w:rPr>
        <w:t xml:space="preserve"> </w:t>
      </w:r>
      <w:r w:rsidRPr="00A13AB6">
        <w:rPr>
          <w:rFonts w:eastAsia="Arial" w:cstheme="minorHAnsi"/>
          <w:b/>
          <w:color w:val="000000" w:themeColor="text1"/>
          <w:w w:val="102"/>
        </w:rPr>
        <w:t>Shock)</w:t>
      </w:r>
    </w:p>
    <w:p w14:paraId="1EBC5C3F" w14:textId="7B708CDF" w:rsidR="00A13AB6" w:rsidRPr="00A13AB6" w:rsidRDefault="00A13AB6" w:rsidP="00A13AB6">
      <w:pPr>
        <w:spacing w:after="0"/>
        <w:ind w:right="810"/>
        <w:rPr>
          <w:rFonts w:eastAsia="Arial" w:cstheme="minorHAnsi"/>
        </w:rPr>
      </w:pPr>
      <w:r w:rsidRPr="00A13AB6">
        <w:rPr>
          <w:rFonts w:eastAsia="Arial" w:cstheme="minorHAnsi"/>
        </w:rPr>
        <w:t xml:space="preserve">The January 2010 Advisory on Interest Rate Risk released by the joint regulatory agencies recommends that the time horizon of the Rate Shock of Margin Simulation </w:t>
      </w:r>
      <w:r w:rsidR="00166B3C" w:rsidRPr="00A13AB6">
        <w:rPr>
          <w:rFonts w:eastAsia="Arial" w:cstheme="minorHAnsi"/>
        </w:rPr>
        <w:t>represents</w:t>
      </w:r>
      <w:r w:rsidRPr="00A13AB6">
        <w:rPr>
          <w:rFonts w:eastAsia="Arial" w:cstheme="minorHAnsi"/>
        </w:rPr>
        <w:t xml:space="preserve"> rate shocked income spanning two full years. </w:t>
      </w:r>
      <w:r w:rsidR="00166B3C">
        <w:rPr>
          <w:rFonts w:eastAsia="Arial" w:cstheme="minorHAnsi"/>
        </w:rPr>
        <w:t>RiskGPS c</w:t>
      </w:r>
      <w:r w:rsidRPr="00A13AB6">
        <w:rPr>
          <w:rFonts w:eastAsia="Arial" w:cstheme="minorHAnsi"/>
        </w:rPr>
        <w:t>alculate</w:t>
      </w:r>
      <w:r w:rsidR="00166B3C">
        <w:rPr>
          <w:rFonts w:eastAsia="Arial" w:cstheme="minorHAnsi"/>
        </w:rPr>
        <w:t>s</w:t>
      </w:r>
      <w:r w:rsidRPr="00A13AB6">
        <w:rPr>
          <w:rFonts w:eastAsia="Arial" w:cstheme="minorHAnsi"/>
        </w:rPr>
        <w:t xml:space="preserve"> the income change for each shock level and displays the cumulative income and expense over the two-year time frame.</w:t>
      </w:r>
    </w:p>
    <w:p w14:paraId="3B2B8DF7" w14:textId="77777777" w:rsidR="00A13AB6" w:rsidRPr="00A13AB6" w:rsidRDefault="00A13AB6" w:rsidP="00A13AB6">
      <w:pPr>
        <w:spacing w:after="0"/>
        <w:ind w:right="810"/>
        <w:rPr>
          <w:rFonts w:eastAsia="Arial" w:cstheme="minorHAnsi"/>
        </w:rPr>
      </w:pPr>
    </w:p>
    <w:p w14:paraId="10F21599" w14:textId="77777777" w:rsidR="00A13AB6" w:rsidRPr="00A13AB6" w:rsidRDefault="00A13AB6" w:rsidP="00A13AB6">
      <w:pPr>
        <w:spacing w:after="0"/>
        <w:ind w:right="810"/>
        <w:rPr>
          <w:rFonts w:eastAsia="Arial" w:cstheme="minorHAnsi"/>
        </w:rPr>
      </w:pPr>
      <w:r w:rsidRPr="00A13AB6">
        <w:rPr>
          <w:rFonts w:eastAsia="Arial" w:cstheme="minorHAnsi"/>
        </w:rPr>
        <w:t>As in the one-year analysis, the shock increments are 100bp up and down. These are immediate and sustained movements and are applied to the re-pricing data for each period. Prepayment speeds, callable information as well as all other assumptions used in the one-year are also used in the 2-year analysis. All the change ratios in the table are calculated as changes from the zero (current) column.</w:t>
      </w:r>
    </w:p>
    <w:p w14:paraId="32335265" w14:textId="77777777" w:rsidR="00A13AB6" w:rsidRPr="00A13AB6" w:rsidRDefault="00A13AB6" w:rsidP="00A13AB6">
      <w:pPr>
        <w:spacing w:after="0"/>
        <w:ind w:right="810"/>
        <w:rPr>
          <w:rFonts w:eastAsia="Arial" w:cstheme="minorHAnsi"/>
          <w:color w:val="000000" w:themeColor="text1"/>
        </w:rPr>
      </w:pPr>
    </w:p>
    <w:p w14:paraId="75ECAEED" w14:textId="77777777" w:rsidR="00A13AB6" w:rsidRPr="00A13AB6" w:rsidRDefault="00A13AB6" w:rsidP="00A13AB6">
      <w:pPr>
        <w:spacing w:after="0"/>
        <w:ind w:right="810"/>
        <w:rPr>
          <w:rFonts w:eastAsia="Arial" w:cstheme="minorHAnsi"/>
        </w:rPr>
      </w:pPr>
      <w:r w:rsidRPr="00A13AB6">
        <w:rPr>
          <w:rFonts w:eastAsia="Arial" w:cstheme="minorHAnsi"/>
        </w:rPr>
        <w:t>While the income in the table is cumulative, the Net Interest Margin is stated as a ratio in the chart to maintain consistency. Since the analysis requires a flat (no growth) balance sheet, the current end of period asset value is used to calculate the NIM (Tax Equivalent)</w:t>
      </w:r>
    </w:p>
    <w:p w14:paraId="13FFA9D2" w14:textId="77777777" w:rsidR="00A13AB6" w:rsidRPr="00A13AB6" w:rsidRDefault="00A13AB6" w:rsidP="00A13AB6">
      <w:pPr>
        <w:spacing w:after="0"/>
        <w:ind w:right="810"/>
        <w:rPr>
          <w:rFonts w:eastAsia="Arial" w:cstheme="minorHAnsi"/>
        </w:rPr>
      </w:pPr>
    </w:p>
    <w:p w14:paraId="52228A2C" w14:textId="77777777" w:rsidR="00A13AB6" w:rsidRPr="00A13AB6" w:rsidRDefault="00A13AB6" w:rsidP="00A13AB6">
      <w:pPr>
        <w:spacing w:after="0"/>
        <w:ind w:right="810"/>
        <w:rPr>
          <w:rFonts w:eastAsia="Arial" w:cstheme="minorHAnsi"/>
          <w:b/>
          <w:bCs/>
          <w:color w:val="000000" w:themeColor="text1"/>
        </w:rPr>
      </w:pPr>
      <w:r w:rsidRPr="00A13AB6">
        <w:rPr>
          <w:rFonts w:eastAsia="Arial" w:cstheme="minorHAnsi"/>
          <w:b/>
          <w:bCs/>
          <w:color w:val="000000" w:themeColor="text1"/>
        </w:rPr>
        <w:t>Using the Rate Shock graph to predict margin</w:t>
      </w:r>
    </w:p>
    <w:p w14:paraId="121B8C42" w14:textId="3B2B80C3" w:rsidR="00A13AB6" w:rsidRDefault="00A13AB6" w:rsidP="00A13AB6">
      <w:pPr>
        <w:spacing w:after="0"/>
        <w:ind w:right="810"/>
        <w:rPr>
          <w:rFonts w:eastAsia="Arial" w:cstheme="minorHAnsi"/>
        </w:rPr>
      </w:pPr>
      <w:r w:rsidRPr="00A13AB6">
        <w:rPr>
          <w:rFonts w:eastAsia="Arial" w:cstheme="minorHAnsi"/>
        </w:rPr>
        <w:t xml:space="preserve">In the performance projections (page 20) section of </w:t>
      </w:r>
      <w:r w:rsidR="00166B3C">
        <w:rPr>
          <w:rFonts w:eastAsia="Arial" w:cstheme="minorHAnsi"/>
        </w:rPr>
        <w:t>RiskGPS</w:t>
      </w:r>
      <w:r w:rsidRPr="00A13AB6">
        <w:rPr>
          <w:rFonts w:eastAsia="Arial" w:cstheme="minorHAnsi"/>
        </w:rPr>
        <w:t xml:space="preserve">, </w:t>
      </w:r>
      <w:r w:rsidR="00166B3C">
        <w:rPr>
          <w:rFonts w:eastAsia="Arial" w:cstheme="minorHAnsi"/>
        </w:rPr>
        <w:t xml:space="preserve">the chart is combined </w:t>
      </w:r>
      <w:r w:rsidRPr="00A13AB6">
        <w:rPr>
          <w:rFonts w:eastAsia="Arial" w:cstheme="minorHAnsi"/>
        </w:rPr>
        <w:t>with a professional rate forecast to project the bank's overall margin for the next four quarters. Using the Weighted Average Rate change, based on the bank's balance sheet structure and the forecast yield curve, we find the rate change on the Shock Level axis (X-axis)</w:t>
      </w:r>
      <w:r w:rsidR="00166B3C">
        <w:rPr>
          <w:rFonts w:eastAsia="Arial" w:cstheme="minorHAnsi"/>
        </w:rPr>
        <w:t xml:space="preserve">; we then </w:t>
      </w:r>
      <w:r w:rsidR="00166B3C" w:rsidRPr="00A13AB6">
        <w:rPr>
          <w:rFonts w:eastAsia="Arial" w:cstheme="minorHAnsi"/>
        </w:rPr>
        <w:t>refer</w:t>
      </w:r>
      <w:r w:rsidRPr="00A13AB6">
        <w:rPr>
          <w:rFonts w:eastAsia="Arial" w:cstheme="minorHAnsi"/>
        </w:rPr>
        <w:t xml:space="preserve"> to the Rate Shocked Margin line to find the projected margin as a percent of Average Earning Assets. The </w:t>
      </w:r>
      <w:r w:rsidR="00166B3C">
        <w:rPr>
          <w:rFonts w:eastAsia="Arial" w:cstheme="minorHAnsi"/>
        </w:rPr>
        <w:t>RiskGPS user</w:t>
      </w:r>
      <w:r w:rsidRPr="00A13AB6">
        <w:rPr>
          <w:rFonts w:eastAsia="Arial" w:cstheme="minorHAnsi"/>
        </w:rPr>
        <w:t xml:space="preserve"> will note a difference between the margin value derived here and the value reported on the Performance Projections page. The reason for this is that the analysis is based upon Average Earning Assets while the Performance </w:t>
      </w:r>
      <w:r w:rsidRPr="00A13AB6">
        <w:rPr>
          <w:rFonts w:eastAsia="Arial" w:cstheme="minorHAnsi"/>
        </w:rPr>
        <w:lastRenderedPageBreak/>
        <w:t>Projections value is based on Total Average Assets which allows us to compute the bank's projected ROA.</w:t>
      </w:r>
    </w:p>
    <w:p w14:paraId="5437A49A" w14:textId="77777777" w:rsidR="00E404A4" w:rsidRPr="00A13AB6" w:rsidRDefault="00E404A4" w:rsidP="00A13AB6">
      <w:pPr>
        <w:spacing w:after="0"/>
        <w:ind w:right="810"/>
        <w:rPr>
          <w:rFonts w:eastAsia="Arial" w:cstheme="minorHAnsi"/>
        </w:rPr>
      </w:pPr>
    </w:p>
    <w:p w14:paraId="51439D96" w14:textId="77777777" w:rsidR="00A13AB6" w:rsidRPr="00A13AB6" w:rsidRDefault="00A13AB6" w:rsidP="00A13AB6">
      <w:pPr>
        <w:spacing w:after="0"/>
        <w:ind w:right="810"/>
        <w:rPr>
          <w:rFonts w:eastAsia="Arial" w:cstheme="minorHAnsi"/>
          <w:color w:val="000000" w:themeColor="text1"/>
        </w:rPr>
      </w:pPr>
      <w:r w:rsidRPr="00A13AB6">
        <w:rPr>
          <w:rFonts w:eastAsia="Arial" w:cstheme="minorHAnsi"/>
          <w:b/>
          <w:color w:val="000000" w:themeColor="text1"/>
          <w:spacing w:val="-9"/>
        </w:rPr>
        <w:t>Y</w:t>
      </w:r>
      <w:r w:rsidRPr="00A13AB6">
        <w:rPr>
          <w:rFonts w:eastAsia="Arial" w:cstheme="minorHAnsi"/>
          <w:b/>
          <w:color w:val="000000" w:themeColor="text1"/>
        </w:rPr>
        <w:t>ield</w:t>
      </w:r>
      <w:r w:rsidRPr="00A13AB6">
        <w:rPr>
          <w:rFonts w:cstheme="minorHAnsi"/>
          <w:b/>
          <w:color w:val="000000" w:themeColor="text1"/>
          <w:spacing w:val="18"/>
        </w:rPr>
        <w:t xml:space="preserve"> </w:t>
      </w:r>
      <w:r w:rsidRPr="00A13AB6">
        <w:rPr>
          <w:rFonts w:eastAsia="Arial" w:cstheme="minorHAnsi"/>
          <w:b/>
          <w:color w:val="000000" w:themeColor="text1"/>
        </w:rPr>
        <w:t>Curve</w:t>
      </w:r>
      <w:r w:rsidRPr="00A13AB6">
        <w:rPr>
          <w:rFonts w:cstheme="minorHAnsi"/>
          <w:b/>
          <w:color w:val="000000" w:themeColor="text1"/>
          <w:spacing w:val="19"/>
        </w:rPr>
        <w:t xml:space="preserve"> </w:t>
      </w:r>
      <w:r w:rsidRPr="00A13AB6">
        <w:rPr>
          <w:rFonts w:eastAsia="Arial" w:cstheme="minorHAnsi"/>
          <w:b/>
          <w:color w:val="000000" w:themeColor="text1"/>
          <w:w w:val="102"/>
        </w:rPr>
        <w:t>Risk</w:t>
      </w:r>
      <w:r w:rsidRPr="00A13AB6">
        <w:rPr>
          <w:rFonts w:cstheme="minorHAnsi"/>
          <w:b/>
          <w:color w:val="000000" w:themeColor="text1"/>
          <w:spacing w:val="-4"/>
        </w:rPr>
        <w:t xml:space="preserve"> </w:t>
      </w:r>
      <w:r w:rsidRPr="00A13AB6">
        <w:rPr>
          <w:rFonts w:eastAsia="Arial" w:cstheme="minorHAnsi"/>
          <w:b/>
          <w:color w:val="000000" w:themeColor="text1"/>
          <w:w w:val="102"/>
        </w:rPr>
        <w:t>Assessment</w:t>
      </w:r>
    </w:p>
    <w:p w14:paraId="2A01523E" w14:textId="6DF5B836" w:rsidR="00A13AB6" w:rsidRPr="00A13AB6" w:rsidRDefault="00E404A4" w:rsidP="00A13AB6">
      <w:pPr>
        <w:spacing w:after="0"/>
        <w:ind w:right="810"/>
        <w:rPr>
          <w:rFonts w:eastAsia="Arial" w:cstheme="minorHAnsi"/>
        </w:rPr>
      </w:pPr>
      <w:r>
        <w:rPr>
          <w:rFonts w:eastAsia="Arial" w:cstheme="minorHAnsi"/>
        </w:rPr>
        <w:t>Using</w:t>
      </w:r>
      <w:r w:rsidR="00A13AB6" w:rsidRPr="00A13AB6">
        <w:rPr>
          <w:rFonts w:eastAsia="Arial" w:cstheme="minorHAnsi"/>
        </w:rPr>
        <w:t xml:space="preserve"> sensitivity analysis, we can determine a worst-case impact on Net Interest Income from a non-parallel shift in the yield curve. The long-end of the curve generally drives the asset </w:t>
      </w:r>
      <w:r w:rsidRPr="00A13AB6">
        <w:rPr>
          <w:rFonts w:eastAsia="Arial" w:cstheme="minorHAnsi"/>
        </w:rPr>
        <w:t>yields,</w:t>
      </w:r>
      <w:r w:rsidR="00A13AB6" w:rsidRPr="00A13AB6">
        <w:rPr>
          <w:rFonts w:eastAsia="Arial" w:cstheme="minorHAnsi"/>
        </w:rPr>
        <w:t xml:space="preserve"> and the short-end tends to most significantly impact the cost of liabilities.</w:t>
      </w:r>
    </w:p>
    <w:p w14:paraId="0FBCEAB2" w14:textId="77777777" w:rsidR="00A13AB6" w:rsidRPr="00A13AB6" w:rsidRDefault="00A13AB6" w:rsidP="00A13AB6">
      <w:pPr>
        <w:spacing w:after="0"/>
        <w:ind w:right="810"/>
        <w:rPr>
          <w:rFonts w:eastAsia="Arial" w:cstheme="minorHAnsi"/>
        </w:rPr>
      </w:pPr>
    </w:p>
    <w:p w14:paraId="22F7C7F5" w14:textId="58ADB79A" w:rsidR="00A13AB6" w:rsidRPr="00E404A4" w:rsidRDefault="00A13AB6" w:rsidP="00A13AB6">
      <w:pPr>
        <w:spacing w:after="0"/>
        <w:ind w:right="810"/>
        <w:rPr>
          <w:rFonts w:eastAsia="Arial" w:cstheme="minorHAnsi"/>
          <w:b/>
          <w:color w:val="800000"/>
        </w:rPr>
      </w:pPr>
      <w:r w:rsidRPr="00A13AB6">
        <w:rPr>
          <w:rFonts w:eastAsia="Arial" w:cstheme="minorHAnsi"/>
        </w:rPr>
        <w:t xml:space="preserve">To create a sufficiently meaningful yield curve shift we use two approaches. In the first scenario, long-term rates remain unchanged while short-term rates rise to a point where the yield curve becomes slightly inverted. In the second scenario, long-term rates fall as far as possible while short-term rates remain unchanged. The worst-case scenario will allow us to assess the bank’s yield curve risk. These two scenarios are depicted in the charts </w:t>
      </w:r>
      <w:r w:rsidR="00E404A4">
        <w:rPr>
          <w:rFonts w:eastAsia="Arial" w:cstheme="minorHAnsi"/>
        </w:rPr>
        <w:t>on page 13 of RiskGPS</w:t>
      </w:r>
      <w:r w:rsidRPr="00A13AB6">
        <w:rPr>
          <w:rFonts w:eastAsia="Arial" w:cstheme="minorHAnsi"/>
        </w:rPr>
        <w:t>.</w:t>
      </w:r>
      <w:r w:rsidR="00E404A4">
        <w:rPr>
          <w:rFonts w:eastAsia="Arial" w:cstheme="minorHAnsi"/>
          <w:b/>
          <w:color w:val="800000"/>
        </w:rPr>
        <w:t xml:space="preserve"> </w:t>
      </w:r>
      <w:r w:rsidRPr="00A13AB6">
        <w:rPr>
          <w:rFonts w:cstheme="minorHAnsi"/>
        </w:rPr>
        <w:t>The results of these two methods determine the worst-case impact on NIM and Equity.</w:t>
      </w:r>
    </w:p>
    <w:p w14:paraId="16BECE22" w14:textId="77777777" w:rsidR="00A13AB6" w:rsidRPr="00A13AB6" w:rsidRDefault="00A13AB6" w:rsidP="00A13AB6">
      <w:pPr>
        <w:spacing w:after="0"/>
        <w:ind w:right="810"/>
        <w:rPr>
          <w:rFonts w:cstheme="minorHAnsi"/>
        </w:rPr>
      </w:pPr>
    </w:p>
    <w:p w14:paraId="30F6B6CF" w14:textId="77777777" w:rsidR="00A13AB6" w:rsidRPr="00A13AB6" w:rsidRDefault="00A13AB6" w:rsidP="00A13AB6">
      <w:pPr>
        <w:spacing w:after="0"/>
        <w:ind w:right="810"/>
        <w:rPr>
          <w:rFonts w:eastAsia="Arial" w:cstheme="minorHAnsi"/>
          <w:color w:val="000000" w:themeColor="text1"/>
        </w:rPr>
      </w:pPr>
      <w:r w:rsidRPr="00A13AB6">
        <w:rPr>
          <w:rFonts w:eastAsia="Arial" w:cstheme="minorHAnsi"/>
          <w:b/>
          <w:color w:val="000000" w:themeColor="text1"/>
        </w:rPr>
        <w:t>Rate</w:t>
      </w:r>
      <w:r w:rsidRPr="00A13AB6">
        <w:rPr>
          <w:rFonts w:cstheme="minorHAnsi"/>
          <w:b/>
          <w:color w:val="000000" w:themeColor="text1"/>
          <w:spacing w:val="16"/>
        </w:rPr>
        <w:t xml:space="preserve"> </w:t>
      </w:r>
      <w:r w:rsidRPr="00A13AB6">
        <w:rPr>
          <w:rFonts w:eastAsia="Arial" w:cstheme="minorHAnsi"/>
          <w:b/>
          <w:color w:val="000000" w:themeColor="text1"/>
        </w:rPr>
        <w:t>Shocked</w:t>
      </w:r>
      <w:r w:rsidRPr="00A13AB6">
        <w:rPr>
          <w:rFonts w:cstheme="minorHAnsi"/>
          <w:b/>
          <w:color w:val="000000" w:themeColor="text1"/>
          <w:spacing w:val="27"/>
        </w:rPr>
        <w:t xml:space="preserve"> </w:t>
      </w:r>
      <w:r w:rsidRPr="00A13AB6">
        <w:rPr>
          <w:rFonts w:eastAsia="Arial" w:cstheme="minorHAnsi"/>
          <w:b/>
          <w:color w:val="000000" w:themeColor="text1"/>
        </w:rPr>
        <w:t>Economic</w:t>
      </w:r>
      <w:r w:rsidRPr="00A13AB6">
        <w:rPr>
          <w:rFonts w:cstheme="minorHAnsi"/>
          <w:b/>
          <w:color w:val="000000" w:themeColor="text1"/>
          <w:spacing w:val="30"/>
        </w:rPr>
        <w:t xml:space="preserve"> </w:t>
      </w:r>
      <w:r w:rsidRPr="00A13AB6">
        <w:rPr>
          <w:rFonts w:eastAsia="Arial" w:cstheme="minorHAnsi"/>
          <w:b/>
          <w:color w:val="000000" w:themeColor="text1"/>
          <w:spacing w:val="-13"/>
        </w:rPr>
        <w:t>V</w:t>
      </w:r>
      <w:r w:rsidRPr="00A13AB6">
        <w:rPr>
          <w:rFonts w:eastAsia="Arial" w:cstheme="minorHAnsi"/>
          <w:b/>
          <w:color w:val="000000" w:themeColor="text1"/>
        </w:rPr>
        <w:t>alue</w:t>
      </w:r>
      <w:r w:rsidRPr="00A13AB6">
        <w:rPr>
          <w:rFonts w:cstheme="minorHAnsi"/>
          <w:b/>
          <w:color w:val="000000" w:themeColor="text1"/>
          <w:spacing w:val="19"/>
        </w:rPr>
        <w:t xml:space="preserve"> </w:t>
      </w:r>
      <w:r w:rsidRPr="00A13AB6">
        <w:rPr>
          <w:rFonts w:eastAsia="Arial" w:cstheme="minorHAnsi"/>
          <w:b/>
          <w:color w:val="000000" w:themeColor="text1"/>
          <w:w w:val="102"/>
        </w:rPr>
        <w:t>of</w:t>
      </w:r>
      <w:r w:rsidRPr="00A13AB6">
        <w:rPr>
          <w:rFonts w:cstheme="minorHAnsi"/>
          <w:b/>
          <w:color w:val="000000" w:themeColor="text1"/>
          <w:spacing w:val="6"/>
        </w:rPr>
        <w:t xml:space="preserve"> </w:t>
      </w:r>
      <w:r w:rsidRPr="00A13AB6">
        <w:rPr>
          <w:rFonts w:eastAsia="Arial" w:cstheme="minorHAnsi"/>
          <w:b/>
          <w:color w:val="000000" w:themeColor="text1"/>
          <w:w w:val="102"/>
        </w:rPr>
        <w:t>Equity</w:t>
      </w:r>
    </w:p>
    <w:p w14:paraId="03CFEF7B" w14:textId="2E2F3B2A" w:rsidR="00A13AB6" w:rsidRPr="00A13AB6" w:rsidRDefault="00A13AB6" w:rsidP="00A13AB6">
      <w:pPr>
        <w:spacing w:after="0"/>
        <w:ind w:right="810"/>
        <w:rPr>
          <w:rFonts w:eastAsia="Arial" w:cstheme="minorHAnsi"/>
        </w:rPr>
      </w:pPr>
      <w:r w:rsidRPr="00A13AB6">
        <w:rPr>
          <w:rFonts w:eastAsia="Arial" w:cstheme="minorHAnsi"/>
        </w:rPr>
        <w:t xml:space="preserve">Economic Value of Equity (EVE) is a measure of long-term interest rate risk. EVE is the present value of assets less the present value of liabilities. In this analysis, </w:t>
      </w:r>
      <w:r w:rsidR="00E404A4">
        <w:rPr>
          <w:rFonts w:eastAsia="Arial" w:cstheme="minorHAnsi"/>
        </w:rPr>
        <w:t>RiskGPS</w:t>
      </w:r>
      <w:r w:rsidRPr="00A13AB6">
        <w:rPr>
          <w:rFonts w:eastAsia="Arial" w:cstheme="minorHAnsi"/>
        </w:rPr>
        <w:t xml:space="preserve"> calculates the discounted cash flow (present value) of each category on the balance sheet under each of nine rate conditions</w:t>
      </w:r>
      <w:r w:rsidR="00E404A4">
        <w:rPr>
          <w:rFonts w:eastAsia="Arial" w:cstheme="minorHAnsi"/>
        </w:rPr>
        <w:t xml:space="preserve"> (+/-400 and the Current (zero) point)</w:t>
      </w:r>
      <w:r w:rsidRPr="00A13AB6">
        <w:rPr>
          <w:rFonts w:eastAsia="Arial" w:cstheme="minorHAnsi"/>
        </w:rPr>
        <w:t>.</w:t>
      </w:r>
    </w:p>
    <w:p w14:paraId="5B22F1B6" w14:textId="77777777" w:rsidR="00A13AB6" w:rsidRPr="00A13AB6" w:rsidRDefault="00A13AB6" w:rsidP="00A13AB6">
      <w:pPr>
        <w:spacing w:after="0"/>
        <w:ind w:right="810"/>
        <w:rPr>
          <w:rFonts w:eastAsia="Arial" w:cstheme="minorHAnsi"/>
        </w:rPr>
      </w:pPr>
    </w:p>
    <w:p w14:paraId="669FBD83" w14:textId="69432836" w:rsidR="00A13AB6" w:rsidRPr="00E404A4" w:rsidRDefault="00A13AB6" w:rsidP="00A13AB6">
      <w:pPr>
        <w:spacing w:after="0"/>
        <w:ind w:right="810"/>
        <w:rPr>
          <w:rFonts w:eastAsia="Arial" w:cstheme="minorHAnsi"/>
          <w:i/>
          <w:iCs/>
        </w:rPr>
      </w:pPr>
      <w:r w:rsidRPr="00E404A4">
        <w:rPr>
          <w:rFonts w:eastAsia="Arial" w:cstheme="minorHAnsi"/>
          <w:i/>
          <w:iCs/>
        </w:rPr>
        <w:t xml:space="preserve">The </w:t>
      </w:r>
      <w:r w:rsidR="00E404A4" w:rsidRPr="00E404A4">
        <w:rPr>
          <w:rFonts w:eastAsia="Arial" w:cstheme="minorHAnsi"/>
          <w:i/>
          <w:iCs/>
        </w:rPr>
        <w:t>percentage</w:t>
      </w:r>
      <w:r w:rsidRPr="00E404A4">
        <w:rPr>
          <w:rFonts w:eastAsia="Arial" w:cstheme="minorHAnsi"/>
          <w:i/>
          <w:iCs/>
        </w:rPr>
        <w:t xml:space="preserve"> of change in EVE is called the Duration of Equity and is a measure of the volatility of value and, therefore, risk. Duration is the percent change in value for each 100bp change in rate and has the dimensions of time, months or years. Each year equals a 1% change in present value for 100bp change in rates. Because duration has </w:t>
      </w:r>
      <w:r w:rsidR="00E404A4" w:rsidRPr="00E404A4">
        <w:rPr>
          <w:rFonts w:eastAsia="Arial" w:cstheme="minorHAnsi"/>
          <w:i/>
          <w:iCs/>
        </w:rPr>
        <w:t>dimensions</w:t>
      </w:r>
      <w:r w:rsidRPr="00E404A4">
        <w:rPr>
          <w:rFonts w:eastAsia="Arial" w:cstheme="minorHAnsi"/>
          <w:i/>
          <w:iCs/>
        </w:rPr>
        <w:t xml:space="preserve"> of time, longer duration equals greater risk.</w:t>
      </w:r>
    </w:p>
    <w:p w14:paraId="19364819" w14:textId="77777777" w:rsidR="00A13AB6" w:rsidRPr="00A13AB6" w:rsidRDefault="00A13AB6" w:rsidP="00A13AB6">
      <w:pPr>
        <w:spacing w:after="0"/>
        <w:ind w:right="810"/>
        <w:rPr>
          <w:rFonts w:eastAsia="Arial" w:cstheme="minorHAnsi"/>
        </w:rPr>
      </w:pPr>
    </w:p>
    <w:p w14:paraId="5278A413" w14:textId="15290153" w:rsidR="00A13AB6" w:rsidRPr="00A13AB6" w:rsidRDefault="00A13AB6" w:rsidP="00A13AB6">
      <w:pPr>
        <w:spacing w:after="0"/>
        <w:ind w:right="810"/>
        <w:rPr>
          <w:rFonts w:eastAsia="Arial" w:cstheme="minorHAnsi"/>
        </w:rPr>
      </w:pPr>
      <w:r w:rsidRPr="00A13AB6">
        <w:rPr>
          <w:rFonts w:eastAsia="Arial" w:cstheme="minorHAnsi"/>
        </w:rPr>
        <w:t xml:space="preserve">EVE calculations require good cash flows, as well as some knowledge of embedded options for reasonable accuracy. Because </w:t>
      </w:r>
      <w:r w:rsidR="00E404A4">
        <w:rPr>
          <w:rFonts w:eastAsia="Arial" w:cstheme="minorHAnsi"/>
        </w:rPr>
        <w:t xml:space="preserve">RiskGPS is </w:t>
      </w:r>
      <w:r w:rsidRPr="00A13AB6">
        <w:rPr>
          <w:rFonts w:eastAsia="Arial" w:cstheme="minorHAnsi"/>
        </w:rPr>
        <w:t xml:space="preserve">calculating cash flows, it is possible to estimate the maturity and prepayments at all rate levels </w:t>
      </w:r>
      <w:proofErr w:type="gramStart"/>
      <w:r w:rsidRPr="00A13AB6">
        <w:rPr>
          <w:rFonts w:eastAsia="Arial" w:cstheme="minorHAnsi"/>
        </w:rPr>
        <w:t>in order to</w:t>
      </w:r>
      <w:proofErr w:type="gramEnd"/>
      <w:r w:rsidRPr="00A13AB6">
        <w:rPr>
          <w:rFonts w:eastAsia="Arial" w:cstheme="minorHAnsi"/>
        </w:rPr>
        <w:t xml:space="preserve"> approximate durations. The present values for the major categories at various rate change levels are calculated using their durations. Loan Present values are computed using discounted cash flows and current market rates. The Fair Value of Securities at the zero point is taken from the Call Report.</w:t>
      </w:r>
    </w:p>
    <w:p w14:paraId="793B4132" w14:textId="77777777" w:rsidR="00A13AB6" w:rsidRPr="00A13AB6" w:rsidRDefault="00A13AB6" w:rsidP="00A13AB6">
      <w:pPr>
        <w:spacing w:after="0"/>
        <w:ind w:right="810"/>
        <w:rPr>
          <w:rFonts w:eastAsia="Arial" w:cstheme="minorHAnsi"/>
        </w:rPr>
      </w:pPr>
    </w:p>
    <w:p w14:paraId="71410243" w14:textId="5A7310DC" w:rsidR="00A13AB6" w:rsidRPr="00A13AB6" w:rsidRDefault="00E404A4" w:rsidP="00A13AB6">
      <w:pPr>
        <w:spacing w:after="0"/>
        <w:ind w:right="810"/>
        <w:rPr>
          <w:rFonts w:eastAsia="Arial" w:cstheme="minorHAnsi"/>
        </w:rPr>
      </w:pPr>
      <w:r>
        <w:rPr>
          <w:rFonts w:eastAsia="Arial" w:cstheme="minorHAnsi"/>
        </w:rPr>
        <w:t xml:space="preserve">RiskGPS </w:t>
      </w:r>
      <w:r w:rsidR="00A13AB6" w:rsidRPr="00A13AB6">
        <w:rPr>
          <w:rFonts w:eastAsia="Arial" w:cstheme="minorHAnsi"/>
        </w:rPr>
        <w:t>user</w:t>
      </w:r>
      <w:r>
        <w:rPr>
          <w:rFonts w:eastAsia="Arial" w:cstheme="minorHAnsi"/>
        </w:rPr>
        <w:t>s</w:t>
      </w:r>
      <w:r w:rsidR="00A13AB6" w:rsidRPr="00A13AB6">
        <w:rPr>
          <w:rFonts w:eastAsia="Arial" w:cstheme="minorHAnsi"/>
        </w:rPr>
        <w:t xml:space="preserve"> </w:t>
      </w:r>
      <w:r>
        <w:rPr>
          <w:rFonts w:eastAsia="Arial" w:cstheme="minorHAnsi"/>
        </w:rPr>
        <w:t>are</w:t>
      </w:r>
      <w:r w:rsidR="00A13AB6" w:rsidRPr="00A13AB6">
        <w:rPr>
          <w:rFonts w:eastAsia="Arial" w:cstheme="minorHAnsi"/>
        </w:rPr>
        <w:t xml:space="preserve"> encouraged to review all assumptions for bond maturities, securities, durations, loan prepayments</w:t>
      </w:r>
      <w:r>
        <w:rPr>
          <w:rFonts w:eastAsia="Arial" w:cstheme="minorHAnsi"/>
        </w:rPr>
        <w:t>,</w:t>
      </w:r>
      <w:r w:rsidR="00A13AB6" w:rsidRPr="00A13AB6">
        <w:rPr>
          <w:rFonts w:eastAsia="Arial" w:cstheme="minorHAnsi"/>
        </w:rPr>
        <w:t xml:space="preserve"> and maturity of borrowings. The bank's Equity Risk provides a long-term perspective on earnings due to rate change.</w:t>
      </w:r>
    </w:p>
    <w:p w14:paraId="6600C224" w14:textId="77777777" w:rsidR="00A13AB6" w:rsidRPr="00A13AB6" w:rsidRDefault="00A13AB6" w:rsidP="00A13AB6">
      <w:pPr>
        <w:spacing w:after="0"/>
        <w:ind w:right="810"/>
        <w:rPr>
          <w:rFonts w:cstheme="minorHAnsi"/>
        </w:rPr>
      </w:pPr>
    </w:p>
    <w:p w14:paraId="4624DE62" w14:textId="77777777" w:rsidR="00A13AB6" w:rsidRPr="00A13AB6" w:rsidRDefault="00A13AB6" w:rsidP="00A13AB6">
      <w:pPr>
        <w:spacing w:after="0"/>
        <w:ind w:right="810"/>
        <w:rPr>
          <w:rFonts w:eastAsia="Arial" w:cstheme="minorHAnsi"/>
          <w:color w:val="000000" w:themeColor="text1"/>
        </w:rPr>
      </w:pPr>
      <w:r w:rsidRPr="00A13AB6">
        <w:rPr>
          <w:rFonts w:eastAsia="Arial" w:cstheme="minorHAnsi"/>
          <w:b/>
          <w:color w:val="000000" w:themeColor="text1"/>
        </w:rPr>
        <w:t>Rate</w:t>
      </w:r>
      <w:r w:rsidRPr="00A13AB6">
        <w:rPr>
          <w:rFonts w:cstheme="minorHAnsi"/>
          <w:b/>
          <w:color w:val="000000" w:themeColor="text1"/>
          <w:spacing w:val="16"/>
        </w:rPr>
        <w:t xml:space="preserve"> </w:t>
      </w:r>
      <w:r w:rsidRPr="00A13AB6">
        <w:rPr>
          <w:rFonts w:eastAsia="Arial" w:cstheme="minorHAnsi"/>
          <w:b/>
          <w:color w:val="000000" w:themeColor="text1"/>
        </w:rPr>
        <w:t>Risk</w:t>
      </w:r>
      <w:r w:rsidRPr="00A13AB6">
        <w:rPr>
          <w:rFonts w:cstheme="minorHAnsi"/>
          <w:b/>
          <w:color w:val="000000" w:themeColor="text1"/>
          <w:spacing w:val="17"/>
        </w:rPr>
        <w:t xml:space="preserve"> </w:t>
      </w:r>
      <w:r w:rsidRPr="00A13AB6">
        <w:rPr>
          <w:rFonts w:eastAsia="Arial" w:cstheme="minorHAnsi"/>
          <w:b/>
          <w:color w:val="000000" w:themeColor="text1"/>
          <w:w w:val="102"/>
        </w:rPr>
        <w:t>Management</w:t>
      </w:r>
      <w:r w:rsidRPr="00A13AB6">
        <w:rPr>
          <w:rFonts w:cstheme="minorHAnsi"/>
          <w:b/>
          <w:color w:val="000000" w:themeColor="text1"/>
          <w:spacing w:val="6"/>
        </w:rPr>
        <w:t xml:space="preserve"> </w:t>
      </w:r>
      <w:r w:rsidRPr="00A13AB6">
        <w:rPr>
          <w:rFonts w:eastAsia="Arial" w:cstheme="minorHAnsi"/>
          <w:b/>
          <w:color w:val="000000" w:themeColor="text1"/>
          <w:w w:val="102"/>
        </w:rPr>
        <w:t>Strategy</w:t>
      </w:r>
    </w:p>
    <w:p w14:paraId="0F742062" w14:textId="6E0440D6" w:rsidR="00A13AB6" w:rsidRPr="00A13AB6" w:rsidRDefault="00A13AB6" w:rsidP="00A13AB6">
      <w:pPr>
        <w:spacing w:after="0"/>
        <w:ind w:right="810"/>
        <w:rPr>
          <w:rFonts w:eastAsia="Arial" w:cstheme="minorHAnsi"/>
        </w:rPr>
      </w:pPr>
      <w:r w:rsidRPr="00A13AB6">
        <w:rPr>
          <w:rFonts w:eastAsia="Arial" w:cstheme="minorHAnsi"/>
        </w:rPr>
        <w:t xml:space="preserve">Risk is present when there is a repricing term mismatch between assets and liabilities. If the volume </w:t>
      </w:r>
      <w:proofErr w:type="gramStart"/>
      <w:r w:rsidRPr="00A13AB6">
        <w:rPr>
          <w:rFonts w:eastAsia="Arial" w:cstheme="minorHAnsi"/>
        </w:rPr>
        <w:t>and</w:t>
      </w:r>
      <w:r w:rsidR="00E404A4">
        <w:rPr>
          <w:rFonts w:eastAsia="Arial" w:cstheme="minorHAnsi"/>
        </w:rPr>
        <w:t xml:space="preserve"> </w:t>
      </w:r>
      <w:r w:rsidRPr="00A13AB6">
        <w:rPr>
          <w:rFonts w:eastAsia="Arial" w:cstheme="minorHAnsi"/>
        </w:rPr>
        <w:t xml:space="preserve"> term</w:t>
      </w:r>
      <w:proofErr w:type="gramEnd"/>
      <w:r w:rsidRPr="00A13AB6">
        <w:rPr>
          <w:rFonts w:eastAsia="Arial" w:cstheme="minorHAnsi"/>
        </w:rPr>
        <w:t xml:space="preserve"> of these opposing balances were equal and priced </w:t>
      </w:r>
      <w:proofErr w:type="gramStart"/>
      <w:r w:rsidRPr="00A13AB6">
        <w:rPr>
          <w:rFonts w:eastAsia="Arial" w:cstheme="minorHAnsi"/>
        </w:rPr>
        <w:t>off of</w:t>
      </w:r>
      <w:proofErr w:type="gramEnd"/>
      <w:r w:rsidRPr="00A13AB6">
        <w:rPr>
          <w:rFonts w:eastAsia="Arial" w:cstheme="minorHAnsi"/>
        </w:rPr>
        <w:t xml:space="preserve"> the same indexes, theoretically there would be no interest rate risk. The reality</w:t>
      </w:r>
      <w:r w:rsidR="00E404A4">
        <w:rPr>
          <w:rFonts w:eastAsia="Arial" w:cstheme="minorHAnsi"/>
        </w:rPr>
        <w:t xml:space="preserve"> is</w:t>
      </w:r>
      <w:r w:rsidRPr="00A13AB6">
        <w:rPr>
          <w:rFonts w:eastAsia="Arial" w:cstheme="minorHAnsi"/>
        </w:rPr>
        <w:t xml:space="preserve">, however, that there is a mismatch. Gap is one technique for measuring this mismatch; </w:t>
      </w:r>
      <w:r w:rsidRPr="00E404A4">
        <w:rPr>
          <w:rFonts w:eastAsia="Arial" w:cstheme="minorHAnsi"/>
          <w:b/>
          <w:bCs/>
        </w:rPr>
        <w:t>Plansmith's Risk Management Bubbles</w:t>
      </w:r>
      <w:r w:rsidRPr="00A13AB6">
        <w:rPr>
          <w:rFonts w:eastAsia="Arial" w:cstheme="minorHAnsi"/>
        </w:rPr>
        <w:t xml:space="preserve"> </w:t>
      </w:r>
      <w:r w:rsidR="00E404A4">
        <w:rPr>
          <w:rFonts w:eastAsia="Arial" w:cstheme="minorHAnsi"/>
        </w:rPr>
        <w:t>are</w:t>
      </w:r>
      <w:r w:rsidRPr="00A13AB6">
        <w:rPr>
          <w:rFonts w:eastAsia="Arial" w:cstheme="minorHAnsi"/>
        </w:rPr>
        <w:t xml:space="preserve"> another. The Bubbles method is like a visual Gap report; however, there are 3 differences: 1) bubbles are easier to understand, 2) bubbles account for the entire term of the bank's position, and 3) by including the current Yield Curve, the risk management strategy is more apparent.</w:t>
      </w:r>
    </w:p>
    <w:p w14:paraId="750B0DB7" w14:textId="77777777" w:rsidR="00A13AB6" w:rsidRPr="00A13AB6" w:rsidRDefault="00A13AB6" w:rsidP="00A13AB6">
      <w:pPr>
        <w:spacing w:after="0"/>
        <w:ind w:right="810"/>
        <w:rPr>
          <w:rFonts w:eastAsia="Arial" w:cstheme="minorHAnsi"/>
        </w:rPr>
      </w:pPr>
    </w:p>
    <w:p w14:paraId="441A1593" w14:textId="77777777" w:rsidR="00A13AB6" w:rsidRPr="00A13AB6" w:rsidRDefault="00A13AB6" w:rsidP="00A13AB6">
      <w:pPr>
        <w:spacing w:after="0"/>
        <w:ind w:right="810"/>
        <w:rPr>
          <w:rFonts w:eastAsia="Arial" w:cstheme="minorHAnsi"/>
        </w:rPr>
      </w:pPr>
      <w:r w:rsidRPr="00A13AB6">
        <w:rPr>
          <w:rFonts w:eastAsia="Arial" w:cstheme="minorHAnsi"/>
        </w:rPr>
        <w:t>There are also 3 elements in the Bubbles method: 1) The term and yield of assets (the yields are not tax equivalent), 2) the term and cost of liabilities, and 3) the Yield Curve. Now we can quantify the components of the margin; the Asset Benefit (the vertical distance from the Asset Bubble to the Yield Curve), the Deposit Benefit (the distance from the Liability Bubble to the Yield Curve), and the Basis Risk Component (the vertical distance in the Yield Curve between Asset and Liability Bubbles). Dividing the Basis Risk Component (basis points) by the Duration Mismatch (months) quantifies the Risk/Reward Trade-Off.</w:t>
      </w:r>
    </w:p>
    <w:p w14:paraId="37BA780D" w14:textId="77777777" w:rsidR="00A13AB6" w:rsidRPr="00A13AB6" w:rsidRDefault="00A13AB6" w:rsidP="00A13AB6">
      <w:pPr>
        <w:spacing w:after="0"/>
        <w:ind w:right="810"/>
        <w:rPr>
          <w:rFonts w:eastAsia="Arial" w:cstheme="minorHAnsi"/>
        </w:rPr>
      </w:pPr>
    </w:p>
    <w:p w14:paraId="079C67CA" w14:textId="6C7667A5" w:rsidR="00A13AB6" w:rsidRPr="00A13AB6" w:rsidRDefault="00A13AB6" w:rsidP="00A13AB6">
      <w:pPr>
        <w:spacing w:after="0"/>
        <w:ind w:right="810"/>
        <w:rPr>
          <w:rFonts w:eastAsia="Arial" w:cstheme="minorHAnsi"/>
        </w:rPr>
      </w:pPr>
      <w:r w:rsidRPr="00A13AB6">
        <w:rPr>
          <w:rFonts w:eastAsia="Arial" w:cstheme="minorHAnsi"/>
        </w:rPr>
        <w:t xml:space="preserve">Dividing the Risk Component by Margin </w:t>
      </w:r>
      <w:r w:rsidR="00E404A4" w:rsidRPr="00A13AB6">
        <w:rPr>
          <w:rFonts w:eastAsia="Arial" w:cstheme="minorHAnsi"/>
        </w:rPr>
        <w:t>Duration</w:t>
      </w:r>
      <w:r w:rsidRPr="00A13AB6">
        <w:rPr>
          <w:rFonts w:eastAsia="Arial" w:cstheme="minorHAnsi"/>
        </w:rPr>
        <w:t xml:space="preserve"> gives us the </w:t>
      </w:r>
      <w:r w:rsidRPr="00E404A4">
        <w:rPr>
          <w:rFonts w:eastAsia="Arial" w:cstheme="minorHAnsi"/>
          <w:b/>
          <w:bCs/>
        </w:rPr>
        <w:t>Risk/Reward Trade-Off</w:t>
      </w:r>
      <w:r w:rsidRPr="00A13AB6">
        <w:rPr>
          <w:rFonts w:eastAsia="Arial" w:cstheme="minorHAnsi"/>
        </w:rPr>
        <w:t xml:space="preserve">. This means that for each month the margin duration increases (risk), margin (reward) will change by the slope of the Yield Curve. This assumes the asset or liability yields maintain their spread to the Yield Curve as they move. </w:t>
      </w:r>
    </w:p>
    <w:p w14:paraId="1646546D" w14:textId="77777777" w:rsidR="00A13AB6" w:rsidRPr="00A13AB6" w:rsidRDefault="00A13AB6" w:rsidP="00A13AB6">
      <w:pPr>
        <w:spacing w:after="0"/>
        <w:ind w:right="810"/>
        <w:rPr>
          <w:rFonts w:eastAsia="Arial" w:cstheme="minorHAnsi"/>
        </w:rPr>
      </w:pPr>
    </w:p>
    <w:p w14:paraId="23219B3D" w14:textId="77777777" w:rsidR="00A13AB6" w:rsidRPr="00A13AB6" w:rsidRDefault="00A13AB6" w:rsidP="00A13AB6">
      <w:pPr>
        <w:spacing w:after="0"/>
        <w:ind w:right="810"/>
        <w:rPr>
          <w:rFonts w:eastAsia="Arial" w:cstheme="minorHAnsi"/>
          <w:b/>
          <w:bCs/>
        </w:rPr>
      </w:pPr>
      <w:r w:rsidRPr="00A13AB6">
        <w:rPr>
          <w:rFonts w:eastAsia="Arial" w:cstheme="minorHAnsi"/>
          <w:b/>
          <w:bCs/>
        </w:rPr>
        <w:t>Performance Forecasts</w:t>
      </w:r>
    </w:p>
    <w:p w14:paraId="5B4D2B21" w14:textId="77777777" w:rsidR="00A13AB6" w:rsidRPr="00A13AB6" w:rsidRDefault="00A13AB6" w:rsidP="00A13AB6">
      <w:pPr>
        <w:spacing w:after="0"/>
        <w:ind w:right="810"/>
        <w:rPr>
          <w:rFonts w:eastAsia="Arial" w:cstheme="minorHAnsi"/>
        </w:rPr>
      </w:pPr>
      <w:r w:rsidRPr="00A13AB6">
        <w:rPr>
          <w:rFonts w:eastAsia="Arial" w:cstheme="minorHAnsi"/>
        </w:rPr>
        <w:t xml:space="preserve">This performance forecast combines the </w:t>
      </w:r>
      <w:r w:rsidRPr="00E404A4">
        <w:rPr>
          <w:rFonts w:eastAsia="Arial" w:cstheme="minorHAnsi"/>
          <w:b/>
          <w:bCs/>
        </w:rPr>
        <w:t>Blue Chip Financial Forecast's</w:t>
      </w:r>
      <w:r w:rsidRPr="00A13AB6">
        <w:rPr>
          <w:rFonts w:eastAsia="Arial" w:cstheme="minorHAnsi"/>
        </w:rPr>
        <w:t xml:space="preserve"> interest rate projections with the Rate Shock Simulation. Since the margin has been computed for various rate changes, we need only apply the rate forecast from Blue Chip. The first step is to determine the overall rate change based on the distribution of the assets and liabilities along the Yield Curve and Prime Rate. Next, the weighting factors are determined as the percentage of assets and liabilities influenced by these rates. From this, the Weighted Average Rate Change is computed to be used in the Simulation.</w:t>
      </w:r>
    </w:p>
    <w:p w14:paraId="3A7C8521" w14:textId="77777777" w:rsidR="00A13AB6" w:rsidRPr="00A13AB6" w:rsidRDefault="00A13AB6" w:rsidP="00A13AB6">
      <w:pPr>
        <w:spacing w:after="0"/>
        <w:ind w:right="810"/>
        <w:rPr>
          <w:rFonts w:eastAsia="Arial" w:cstheme="minorHAnsi"/>
        </w:rPr>
      </w:pPr>
    </w:p>
    <w:p w14:paraId="560C0B4B" w14:textId="77777777" w:rsidR="00A13AB6" w:rsidRPr="00A13AB6" w:rsidRDefault="00A13AB6" w:rsidP="00A13AB6">
      <w:pPr>
        <w:spacing w:after="0"/>
        <w:ind w:right="810"/>
        <w:rPr>
          <w:rFonts w:eastAsia="Arial" w:cstheme="minorHAnsi"/>
          <w:color w:val="000000" w:themeColor="text1"/>
        </w:rPr>
      </w:pPr>
      <w:r w:rsidRPr="00A13AB6">
        <w:rPr>
          <w:rFonts w:eastAsia="Arial" w:cstheme="minorHAnsi"/>
          <w:b/>
          <w:color w:val="000000" w:themeColor="text1"/>
        </w:rPr>
        <w:t>Risk</w:t>
      </w:r>
      <w:r w:rsidRPr="00A13AB6">
        <w:rPr>
          <w:rFonts w:cstheme="minorHAnsi"/>
          <w:b/>
          <w:color w:val="000000" w:themeColor="text1"/>
          <w:spacing w:val="17"/>
        </w:rPr>
        <w:t xml:space="preserve"> </w:t>
      </w:r>
      <w:r w:rsidRPr="00A13AB6">
        <w:rPr>
          <w:rFonts w:eastAsia="Arial" w:cstheme="minorHAnsi"/>
          <w:b/>
          <w:color w:val="000000" w:themeColor="text1"/>
          <w:spacing w:val="-18"/>
        </w:rPr>
        <w:t>T</w:t>
      </w:r>
      <w:r w:rsidRPr="00A13AB6">
        <w:rPr>
          <w:rFonts w:eastAsia="Arial" w:cstheme="minorHAnsi"/>
          <w:b/>
          <w:color w:val="000000" w:themeColor="text1"/>
        </w:rPr>
        <w:t>olerance</w:t>
      </w:r>
      <w:r w:rsidRPr="00A13AB6">
        <w:rPr>
          <w:rFonts w:cstheme="minorHAnsi"/>
          <w:b/>
          <w:color w:val="000000" w:themeColor="text1"/>
          <w:spacing w:val="20"/>
        </w:rPr>
        <w:t xml:space="preserve"> </w:t>
      </w:r>
      <w:r w:rsidRPr="00A13AB6">
        <w:rPr>
          <w:rFonts w:eastAsia="Arial" w:cstheme="minorHAnsi"/>
          <w:b/>
          <w:color w:val="000000" w:themeColor="text1"/>
          <w:w w:val="102"/>
        </w:rPr>
        <w:t>Assumptions</w:t>
      </w:r>
    </w:p>
    <w:p w14:paraId="271A20F4" w14:textId="53D8348D" w:rsidR="00A13AB6" w:rsidRPr="008E6DE8" w:rsidRDefault="00A13AB6" w:rsidP="00A13AB6">
      <w:pPr>
        <w:spacing w:after="0"/>
        <w:ind w:right="810"/>
        <w:rPr>
          <w:rFonts w:eastAsia="Arial" w:cstheme="minorHAnsi"/>
          <w:i/>
          <w:iCs/>
        </w:rPr>
      </w:pPr>
      <w:r w:rsidRPr="00A13AB6">
        <w:rPr>
          <w:rFonts w:eastAsia="Arial" w:cstheme="minorHAnsi"/>
        </w:rPr>
        <w:t xml:space="preserve">The assumptions used on </w:t>
      </w:r>
      <w:r w:rsidR="00E404A4">
        <w:rPr>
          <w:rFonts w:eastAsia="Arial" w:cstheme="minorHAnsi"/>
        </w:rPr>
        <w:t xml:space="preserve">the Risk Tolerance </w:t>
      </w:r>
      <w:r w:rsidR="008E6DE8">
        <w:rPr>
          <w:rFonts w:eastAsia="Arial" w:cstheme="minorHAnsi"/>
        </w:rPr>
        <w:t xml:space="preserve">Assumptions </w:t>
      </w:r>
      <w:r w:rsidRPr="00A13AB6">
        <w:rPr>
          <w:rFonts w:eastAsia="Arial" w:cstheme="minorHAnsi"/>
        </w:rPr>
        <w:t xml:space="preserve">page are applied only to the Margin Risk Tolerance Report (page 11) and Performance Forecast Report (page 20). </w:t>
      </w:r>
      <w:r w:rsidRPr="008E6DE8">
        <w:rPr>
          <w:rFonts w:eastAsia="Arial" w:cstheme="minorHAnsi"/>
          <w:i/>
          <w:iCs/>
        </w:rPr>
        <w:t xml:space="preserve">The Risk Tolerance assumptions are </w:t>
      </w:r>
      <w:r w:rsidR="008E6DE8" w:rsidRPr="008E6DE8">
        <w:rPr>
          <w:rFonts w:eastAsia="Arial" w:cstheme="minorHAnsi"/>
          <w:i/>
          <w:iCs/>
        </w:rPr>
        <w:t>not</w:t>
      </w:r>
      <w:r w:rsidRPr="008E6DE8">
        <w:rPr>
          <w:rFonts w:eastAsia="Arial" w:cstheme="minorHAnsi"/>
          <w:i/>
          <w:iCs/>
        </w:rPr>
        <w:t xml:space="preserve"> applied to Net Interest Margin Simulations, Rate Shocked EVE, or Rate Sensitivity Gap.</w:t>
      </w:r>
    </w:p>
    <w:p w14:paraId="306EE8EA" w14:textId="77777777" w:rsidR="00A13AB6" w:rsidRPr="00A13AB6" w:rsidRDefault="00A13AB6" w:rsidP="00A13AB6">
      <w:pPr>
        <w:spacing w:after="0"/>
        <w:ind w:right="810"/>
        <w:rPr>
          <w:rFonts w:eastAsia="Arial" w:cstheme="minorHAnsi"/>
        </w:rPr>
      </w:pPr>
    </w:p>
    <w:p w14:paraId="2A5D2D2A" w14:textId="4C2BB6D6" w:rsidR="00A13AB6" w:rsidRPr="00A13AB6" w:rsidRDefault="008E6DE8" w:rsidP="00A13AB6">
      <w:pPr>
        <w:spacing w:after="0"/>
        <w:ind w:right="810"/>
        <w:rPr>
          <w:rFonts w:eastAsia="Arial" w:cstheme="minorHAnsi"/>
        </w:rPr>
      </w:pPr>
      <w:r>
        <w:rPr>
          <w:rFonts w:eastAsia="Arial" w:cstheme="minorHAnsi"/>
        </w:rPr>
        <w:t>V</w:t>
      </w:r>
      <w:r w:rsidR="00A13AB6" w:rsidRPr="00A13AB6">
        <w:rPr>
          <w:rFonts w:eastAsia="Arial" w:cstheme="minorHAnsi"/>
        </w:rPr>
        <w:t xml:space="preserve">alues calculated from the Risk Tolerance Analysis will set the benchmark for which the bank’s Net Interest Margin will be measured. The system estimates are based on the bank’s past activity as well as applying industry standards. Review and adjust entries representing the values over the next 4 quarters. </w:t>
      </w:r>
    </w:p>
    <w:p w14:paraId="539A74CE" w14:textId="77777777" w:rsidR="00A13AB6" w:rsidRPr="00A13AB6" w:rsidRDefault="00A13AB6" w:rsidP="00A13AB6">
      <w:pPr>
        <w:spacing w:after="0"/>
        <w:ind w:right="810"/>
        <w:rPr>
          <w:rFonts w:eastAsia="Arial" w:cstheme="minorHAnsi"/>
        </w:rPr>
      </w:pPr>
    </w:p>
    <w:p w14:paraId="677FE6CA" w14:textId="77777777" w:rsidR="00A13AB6" w:rsidRPr="00A13AB6" w:rsidRDefault="00A13AB6" w:rsidP="00A13AB6">
      <w:pPr>
        <w:spacing w:after="0"/>
        <w:ind w:right="810"/>
        <w:rPr>
          <w:rFonts w:eastAsia="Arial" w:cstheme="minorHAnsi"/>
        </w:rPr>
      </w:pPr>
      <w:r w:rsidRPr="00A13AB6">
        <w:rPr>
          <w:rFonts w:eastAsia="Arial" w:cstheme="minorHAnsi"/>
          <w:b/>
          <w:bCs/>
        </w:rPr>
        <w:t>Loan Assumptions</w:t>
      </w:r>
      <w:r w:rsidRPr="00A13AB6">
        <w:rPr>
          <w:rFonts w:eastAsia="Arial" w:cstheme="minorHAnsi"/>
        </w:rPr>
        <w:t xml:space="preserve"> </w:t>
      </w:r>
    </w:p>
    <w:p w14:paraId="7BE8FE59" w14:textId="7A0D1AB9" w:rsidR="00A13AB6" w:rsidRPr="00A13AB6" w:rsidRDefault="00A13AB6" w:rsidP="00A13AB6">
      <w:pPr>
        <w:spacing w:after="0"/>
        <w:ind w:right="810"/>
        <w:rPr>
          <w:rFonts w:eastAsia="Arial" w:cstheme="minorHAnsi"/>
        </w:rPr>
      </w:pPr>
      <w:r w:rsidRPr="00A13AB6">
        <w:rPr>
          <w:rFonts w:eastAsia="Arial" w:cstheme="minorHAnsi"/>
        </w:rPr>
        <w:t>System Estimates are calculated based on the bank’s past activity. It is important to review and adjust</w:t>
      </w:r>
      <w:r w:rsidR="008E6DE8">
        <w:rPr>
          <w:rFonts w:eastAsia="Arial" w:cstheme="minorHAnsi"/>
        </w:rPr>
        <w:t xml:space="preserve"> as </w:t>
      </w:r>
      <w:r w:rsidRPr="00A13AB6">
        <w:rPr>
          <w:rFonts w:eastAsia="Arial" w:cstheme="minorHAnsi"/>
        </w:rPr>
        <w:t>needed to capture the bank’s current position more accurately. A ‘blank’ under User Defined defaults to the System Estimate values.</w:t>
      </w:r>
      <w:r w:rsidR="008E6DE8">
        <w:rPr>
          <w:rFonts w:eastAsia="Arial" w:cstheme="minorHAnsi"/>
        </w:rPr>
        <w:t xml:space="preserve"> </w:t>
      </w:r>
      <w:r w:rsidRPr="00A13AB6">
        <w:rPr>
          <w:rFonts w:eastAsia="Arial" w:cstheme="minorHAnsi"/>
          <w:b/>
          <w:bCs/>
        </w:rPr>
        <w:t>Note:</w:t>
      </w:r>
      <w:r w:rsidRPr="00A13AB6">
        <w:rPr>
          <w:rFonts w:eastAsia="Arial" w:cstheme="minorHAnsi"/>
        </w:rPr>
        <w:t xml:space="preserve"> The Call report requires banks to classify Floating Rate Loans that have reached their floor as Fixed. Their maturity is therefore reported at its final maturity date. By providing </w:t>
      </w:r>
      <w:r w:rsidR="008E6DE8">
        <w:rPr>
          <w:rFonts w:eastAsia="Arial" w:cstheme="minorHAnsi"/>
        </w:rPr>
        <w:t>more detail on the Loan Assumptions screen</w:t>
      </w:r>
      <w:r w:rsidRPr="00A13AB6">
        <w:rPr>
          <w:rFonts w:eastAsia="Arial" w:cstheme="minorHAnsi"/>
        </w:rPr>
        <w:t xml:space="preserve">, </w:t>
      </w:r>
      <w:r w:rsidR="008E6DE8">
        <w:rPr>
          <w:rFonts w:eastAsia="Arial" w:cstheme="minorHAnsi"/>
        </w:rPr>
        <w:t>RiskGPS</w:t>
      </w:r>
      <w:r w:rsidRPr="00A13AB6">
        <w:rPr>
          <w:rFonts w:eastAsia="Arial" w:cstheme="minorHAnsi"/>
        </w:rPr>
        <w:t xml:space="preserve"> can automatically move these balances back to Floating when the rate shock level causes them to exceed their floor.</w:t>
      </w:r>
    </w:p>
    <w:p w14:paraId="3472A5C0" w14:textId="77777777" w:rsidR="00A13AB6" w:rsidRPr="00A13AB6" w:rsidRDefault="00A13AB6" w:rsidP="00A13AB6">
      <w:pPr>
        <w:spacing w:after="0"/>
        <w:ind w:right="810"/>
        <w:rPr>
          <w:rFonts w:eastAsia="Arial" w:cstheme="minorHAnsi"/>
          <w:b/>
          <w:bCs/>
        </w:rPr>
      </w:pPr>
    </w:p>
    <w:p w14:paraId="2D4D95B0" w14:textId="77777777" w:rsidR="00A13AB6" w:rsidRPr="00A13AB6" w:rsidRDefault="00A13AB6" w:rsidP="00A13AB6">
      <w:pPr>
        <w:spacing w:after="0"/>
        <w:ind w:right="810"/>
        <w:rPr>
          <w:rFonts w:eastAsia="Arial" w:cstheme="minorHAnsi"/>
        </w:rPr>
      </w:pPr>
      <w:r w:rsidRPr="00A13AB6">
        <w:rPr>
          <w:rFonts w:eastAsia="Arial" w:cstheme="minorHAnsi"/>
          <w:b/>
          <w:bCs/>
        </w:rPr>
        <w:t>All Other Loans – (all loans excluding 1-4 Fam Res Mtgs)</w:t>
      </w:r>
    </w:p>
    <w:p w14:paraId="147439BC" w14:textId="63C720FE" w:rsidR="00A13AB6" w:rsidRPr="00A13AB6" w:rsidRDefault="00A13AB6" w:rsidP="00A13AB6">
      <w:pPr>
        <w:spacing w:after="0"/>
        <w:ind w:right="810"/>
        <w:rPr>
          <w:rFonts w:eastAsia="Arial" w:cstheme="minorHAnsi"/>
        </w:rPr>
      </w:pPr>
      <w:r w:rsidRPr="00A13AB6">
        <w:rPr>
          <w:rFonts w:eastAsia="Arial" w:cstheme="minorHAnsi"/>
          <w:b/>
          <w:bCs/>
        </w:rPr>
        <w:t>Note:</w:t>
      </w:r>
      <w:r w:rsidRPr="00A13AB6">
        <w:rPr>
          <w:rFonts w:eastAsia="Arial" w:cstheme="minorHAnsi"/>
        </w:rPr>
        <w:t> Please fill in the weighted rates for Floating Loans. For the Contractual Rate (also known as Indexed Rate), enter what the weighted average yield would be if there were no floors or ceilings.  For example, if these loans are priced at Prime plus a spread, and Prime = 8.50% and the weighted average spread is 50bp, then the Weighted Average Contractual (Indexed) Rate is 9.0%.</w:t>
      </w:r>
    </w:p>
    <w:p w14:paraId="49D7AEFF" w14:textId="77777777" w:rsidR="00A13AB6" w:rsidRPr="00A13AB6" w:rsidRDefault="00A13AB6" w:rsidP="00A13AB6">
      <w:pPr>
        <w:spacing w:after="0"/>
        <w:ind w:right="810"/>
        <w:rPr>
          <w:rFonts w:eastAsia="Arial" w:cstheme="minorHAnsi"/>
        </w:rPr>
      </w:pPr>
    </w:p>
    <w:p w14:paraId="42CE9CB3" w14:textId="1F50673E" w:rsidR="002311BB" w:rsidRPr="00821626" w:rsidRDefault="00A13AB6" w:rsidP="00821626">
      <w:pPr>
        <w:spacing w:after="0"/>
        <w:ind w:right="810"/>
        <w:rPr>
          <w:rFonts w:eastAsia="Arial" w:cstheme="minorHAnsi"/>
          <w:b/>
          <w:bCs/>
        </w:rPr>
      </w:pPr>
      <w:r w:rsidRPr="00A13AB6">
        <w:rPr>
          <w:rFonts w:eastAsia="Arial" w:cstheme="minorHAnsi"/>
          <w:b/>
          <w:bCs/>
        </w:rPr>
        <w:lastRenderedPageBreak/>
        <w:t>Deposit Assumptions</w:t>
      </w:r>
    </w:p>
    <w:p w14:paraId="7E6F5AD8" w14:textId="536204C3" w:rsidR="00A13AB6" w:rsidRPr="00A13AB6" w:rsidRDefault="00A13AB6" w:rsidP="00C02CA4">
      <w:pPr>
        <w:spacing w:after="0"/>
        <w:ind w:right="810"/>
        <w:rPr>
          <w:rFonts w:eastAsia="Arial" w:cstheme="minorHAnsi"/>
        </w:rPr>
      </w:pPr>
      <w:r w:rsidRPr="00A13AB6">
        <w:rPr>
          <w:rFonts w:eastAsia="Arial" w:cstheme="minorHAnsi"/>
        </w:rPr>
        <w:t>*System Estimates are based on Treasury Yield Curve with similar durations.</w:t>
      </w:r>
      <w:r w:rsidRPr="00A13AB6">
        <w:rPr>
          <w:rFonts w:eastAsia="Arial" w:cstheme="minorHAnsi"/>
        </w:rPr>
        <w:br/>
      </w:r>
    </w:p>
    <w:p w14:paraId="4A8289A2" w14:textId="3675BDB9" w:rsidR="00A13AB6" w:rsidRPr="00A13AB6" w:rsidRDefault="00A13AB6" w:rsidP="00A13AB6">
      <w:pPr>
        <w:spacing w:after="0" w:line="278" w:lineRule="auto"/>
        <w:ind w:right="810"/>
        <w:rPr>
          <w:rFonts w:eastAsia="Arial" w:cstheme="minorHAnsi"/>
          <w:b/>
          <w:bCs/>
        </w:rPr>
      </w:pPr>
      <w:r w:rsidRPr="00A13AB6">
        <w:rPr>
          <w:rFonts w:eastAsia="Arial" w:cstheme="minorHAnsi"/>
          <w:b/>
          <w:bCs/>
        </w:rPr>
        <w:t>Back-Testing</w:t>
      </w:r>
    </w:p>
    <w:p w14:paraId="719279A4" w14:textId="1CE5CE68" w:rsidR="00BA3F2D" w:rsidRDefault="00C37BA2" w:rsidP="00C37BA2">
      <w:pPr>
        <w:spacing w:after="0" w:line="278" w:lineRule="auto"/>
        <w:ind w:right="270"/>
        <w:rPr>
          <w:rFonts w:eastAsia="Arial" w:cstheme="minorHAnsi"/>
        </w:rPr>
      </w:pPr>
      <w:r w:rsidRPr="00A13AB6">
        <w:rPr>
          <w:rFonts w:eastAsia="Arial" w:cstheme="minorHAnsi"/>
        </w:rPr>
        <w:t>To</w:t>
      </w:r>
      <w:r w:rsidR="00A13AB6" w:rsidRPr="00A13AB6">
        <w:rPr>
          <w:rFonts w:eastAsia="Arial" w:cstheme="minorHAnsi"/>
        </w:rPr>
        <w:t xml:space="preserve"> validate the accuracy of the model, the system performs back-testing of results by comparing the difference between calculated Net Interest Margin and Actual Net Interest Margin over 4 years. It then averages the absolute values of those differences to determine an Average Error.</w:t>
      </w:r>
      <w:r>
        <w:rPr>
          <w:rFonts w:eastAsia="Arial" w:cstheme="minorHAnsi"/>
        </w:rPr>
        <w:t xml:space="preserve"> ‘N/A’ indicates back-testing data analytics exceeded a +/-0.75 margin </w:t>
      </w:r>
      <w:r w:rsidR="005009C4">
        <w:rPr>
          <w:rFonts w:eastAsia="Arial" w:cstheme="minorHAnsi"/>
        </w:rPr>
        <w:t>of</w:t>
      </w:r>
      <w:r>
        <w:rPr>
          <w:rFonts w:eastAsia="Arial" w:cstheme="minorHAnsi"/>
        </w:rPr>
        <w:t xml:space="preserve"> error threshold. This threshold applied to periods prior to YE 2023 - YE 2024.</w:t>
      </w:r>
    </w:p>
    <w:p w14:paraId="61901FA9" w14:textId="23C470A0" w:rsidR="00E133CD" w:rsidRPr="002311BB" w:rsidRDefault="00E133CD" w:rsidP="00E133CD">
      <w:pPr>
        <w:spacing w:after="0" w:line="278" w:lineRule="auto"/>
        <w:ind w:right="270"/>
        <w:rPr>
          <w:rFonts w:eastAsia="Arial" w:cstheme="minorHAnsi"/>
        </w:rPr>
      </w:pPr>
    </w:p>
    <w:tbl>
      <w:tblPr>
        <w:tblpPr w:leftFromText="187" w:rightFromText="187" w:vertAnchor="text" w:horzAnchor="margin" w:tblpXSpec="center" w:tblpY="-863"/>
        <w:tblW w:w="10854" w:type="dxa"/>
        <w:tblLayout w:type="fixed"/>
        <w:tblCellMar>
          <w:left w:w="0" w:type="dxa"/>
          <w:right w:w="0" w:type="dxa"/>
        </w:tblCellMar>
        <w:tblLook w:val="01E0" w:firstRow="1" w:lastRow="1" w:firstColumn="1" w:lastColumn="1" w:noHBand="0" w:noVBand="0"/>
      </w:tblPr>
      <w:tblGrid>
        <w:gridCol w:w="2520"/>
        <w:gridCol w:w="27"/>
        <w:gridCol w:w="8307"/>
      </w:tblGrid>
      <w:tr w:rsidR="00821626" w:rsidRPr="00A13AB6" w14:paraId="4761C6F0" w14:textId="77777777" w:rsidTr="003321C2">
        <w:trPr>
          <w:trHeight w:hRule="exact" w:val="295"/>
        </w:trPr>
        <w:tc>
          <w:tcPr>
            <w:tcW w:w="10854" w:type="dxa"/>
            <w:gridSpan w:val="3"/>
            <w:tcBorders>
              <w:top w:val="nil"/>
              <w:left w:val="nil"/>
              <w:bottom w:val="nil"/>
              <w:right w:val="nil"/>
            </w:tcBorders>
            <w:shd w:val="clear" w:color="auto" w:fill="8A2B23"/>
          </w:tcPr>
          <w:p w14:paraId="4312E82C" w14:textId="397A97F8" w:rsidR="00821626" w:rsidRPr="00A13AB6" w:rsidRDefault="00821626" w:rsidP="00821626">
            <w:pPr>
              <w:spacing w:after="0" w:line="278" w:lineRule="auto"/>
              <w:ind w:left="360"/>
              <w:jc w:val="center"/>
              <w:rPr>
                <w:rFonts w:eastAsia="Arial" w:cstheme="minorHAnsi"/>
                <w:color w:val="FFFFFF"/>
              </w:rPr>
            </w:pPr>
            <w:r>
              <w:rPr>
                <w:rFonts w:eastAsia="Arial" w:cstheme="minorHAnsi"/>
                <w:color w:val="FFFFFF"/>
                <w:spacing w:val="-19"/>
              </w:rPr>
              <w:lastRenderedPageBreak/>
              <w:t>GLOSSARY OF TERMS</w:t>
            </w:r>
          </w:p>
        </w:tc>
      </w:tr>
      <w:tr w:rsidR="002311BB" w:rsidRPr="00A13AB6" w14:paraId="224D1A0A" w14:textId="77777777" w:rsidTr="00BA3F2D">
        <w:trPr>
          <w:trHeight w:hRule="exact" w:val="295"/>
        </w:trPr>
        <w:tc>
          <w:tcPr>
            <w:tcW w:w="2547" w:type="dxa"/>
            <w:gridSpan w:val="2"/>
            <w:tcBorders>
              <w:top w:val="nil"/>
              <w:left w:val="nil"/>
              <w:bottom w:val="nil"/>
              <w:right w:val="nil"/>
            </w:tcBorders>
            <w:shd w:val="clear" w:color="auto" w:fill="8A2B23"/>
          </w:tcPr>
          <w:p w14:paraId="320BC046" w14:textId="77777777" w:rsidR="002311BB" w:rsidRPr="00A13AB6" w:rsidRDefault="002311BB" w:rsidP="00BA3F2D">
            <w:pPr>
              <w:spacing w:line="278" w:lineRule="auto"/>
              <w:ind w:left="360"/>
              <w:rPr>
                <w:rFonts w:eastAsia="Arial" w:cstheme="minorHAnsi"/>
              </w:rPr>
            </w:pPr>
            <w:r w:rsidRPr="00A13AB6">
              <w:rPr>
                <w:rFonts w:eastAsia="Arial" w:cstheme="minorHAnsi"/>
                <w:color w:val="FFFFFF"/>
                <w:spacing w:val="-19"/>
              </w:rPr>
              <w:t>T</w:t>
            </w:r>
            <w:r w:rsidRPr="00A13AB6">
              <w:rPr>
                <w:rFonts w:eastAsia="Arial" w:cstheme="minorHAnsi"/>
                <w:color w:val="FFFFFF"/>
              </w:rPr>
              <w:t>erm</w:t>
            </w:r>
          </w:p>
        </w:tc>
        <w:tc>
          <w:tcPr>
            <w:tcW w:w="8307" w:type="dxa"/>
            <w:tcBorders>
              <w:top w:val="nil"/>
              <w:left w:val="nil"/>
              <w:bottom w:val="nil"/>
              <w:right w:val="nil"/>
            </w:tcBorders>
            <w:shd w:val="clear" w:color="auto" w:fill="8A2B23"/>
          </w:tcPr>
          <w:p w14:paraId="07DC1CE4" w14:textId="77777777" w:rsidR="002311BB" w:rsidRPr="00A13AB6" w:rsidRDefault="002311BB" w:rsidP="00BA3F2D">
            <w:pPr>
              <w:spacing w:line="278" w:lineRule="auto"/>
              <w:ind w:left="360"/>
              <w:rPr>
                <w:rFonts w:eastAsia="Arial" w:cstheme="minorHAnsi"/>
              </w:rPr>
            </w:pPr>
            <w:r w:rsidRPr="00A13AB6">
              <w:rPr>
                <w:rFonts w:eastAsia="Arial" w:cstheme="minorHAnsi"/>
                <w:color w:val="FFFFFF"/>
              </w:rPr>
              <w:t>Definition</w:t>
            </w:r>
          </w:p>
        </w:tc>
      </w:tr>
      <w:tr w:rsidR="002311BB" w:rsidRPr="00A13AB6" w14:paraId="4AA40FCC" w14:textId="77777777" w:rsidTr="00BA3F2D">
        <w:trPr>
          <w:trHeight w:hRule="exact" w:val="295"/>
        </w:trPr>
        <w:tc>
          <w:tcPr>
            <w:tcW w:w="2547" w:type="dxa"/>
            <w:gridSpan w:val="2"/>
            <w:tcBorders>
              <w:top w:val="nil"/>
              <w:left w:val="nil"/>
              <w:bottom w:val="nil"/>
              <w:right w:val="nil"/>
            </w:tcBorders>
            <w:shd w:val="clear" w:color="auto" w:fill="8A2B23"/>
          </w:tcPr>
          <w:p w14:paraId="54E9279E" w14:textId="77777777" w:rsidR="002311BB" w:rsidRPr="00A13AB6" w:rsidRDefault="002311BB" w:rsidP="00BA3F2D">
            <w:pPr>
              <w:spacing w:line="278" w:lineRule="auto"/>
              <w:ind w:left="360"/>
              <w:rPr>
                <w:rFonts w:eastAsia="Arial" w:cstheme="minorHAnsi"/>
                <w:color w:val="FFFFFF"/>
                <w:spacing w:val="-19"/>
              </w:rPr>
            </w:pPr>
          </w:p>
        </w:tc>
        <w:tc>
          <w:tcPr>
            <w:tcW w:w="8307" w:type="dxa"/>
            <w:tcBorders>
              <w:top w:val="nil"/>
              <w:left w:val="nil"/>
              <w:bottom w:val="nil"/>
              <w:right w:val="nil"/>
            </w:tcBorders>
            <w:shd w:val="clear" w:color="auto" w:fill="8A2B23"/>
          </w:tcPr>
          <w:p w14:paraId="0FA1BB88" w14:textId="77777777" w:rsidR="002311BB" w:rsidRPr="00A13AB6" w:rsidRDefault="002311BB" w:rsidP="00BA3F2D">
            <w:pPr>
              <w:spacing w:line="278" w:lineRule="auto"/>
              <w:rPr>
                <w:rFonts w:eastAsia="Arial" w:cstheme="minorHAnsi"/>
                <w:color w:val="FFFFFF"/>
              </w:rPr>
            </w:pPr>
          </w:p>
        </w:tc>
      </w:tr>
      <w:tr w:rsidR="002311BB" w:rsidRPr="00A13AB6" w14:paraId="0C9F29B6" w14:textId="77777777" w:rsidTr="00BA3F2D">
        <w:trPr>
          <w:trHeight w:hRule="exact" w:val="68"/>
        </w:trPr>
        <w:tc>
          <w:tcPr>
            <w:tcW w:w="2547" w:type="dxa"/>
            <w:gridSpan w:val="2"/>
            <w:tcBorders>
              <w:top w:val="nil"/>
              <w:left w:val="nil"/>
              <w:bottom w:val="nil"/>
              <w:right w:val="nil"/>
            </w:tcBorders>
            <w:shd w:val="clear" w:color="auto" w:fill="8A2B23"/>
          </w:tcPr>
          <w:p w14:paraId="02ECC8DA" w14:textId="77777777" w:rsidR="002311BB" w:rsidRPr="00A13AB6" w:rsidRDefault="002311BB" w:rsidP="00BA3F2D">
            <w:pPr>
              <w:spacing w:line="278" w:lineRule="auto"/>
              <w:ind w:left="360"/>
              <w:rPr>
                <w:rFonts w:eastAsia="Arial" w:cstheme="minorHAnsi"/>
                <w:color w:val="FFFFFF"/>
                <w:spacing w:val="-19"/>
              </w:rPr>
            </w:pPr>
          </w:p>
        </w:tc>
        <w:tc>
          <w:tcPr>
            <w:tcW w:w="8307" w:type="dxa"/>
            <w:tcBorders>
              <w:top w:val="nil"/>
              <w:left w:val="nil"/>
              <w:bottom w:val="nil"/>
              <w:right w:val="nil"/>
            </w:tcBorders>
            <w:shd w:val="clear" w:color="auto" w:fill="8A2B23"/>
          </w:tcPr>
          <w:p w14:paraId="50E21728" w14:textId="77777777" w:rsidR="002311BB" w:rsidRPr="00A13AB6" w:rsidRDefault="002311BB" w:rsidP="00BA3F2D">
            <w:pPr>
              <w:spacing w:line="278" w:lineRule="auto"/>
              <w:ind w:left="360"/>
              <w:rPr>
                <w:rFonts w:eastAsia="Arial" w:cstheme="minorHAnsi"/>
                <w:color w:val="FFFFFF"/>
              </w:rPr>
            </w:pPr>
          </w:p>
        </w:tc>
      </w:tr>
      <w:tr w:rsidR="002311BB" w:rsidRPr="00A13AB6" w14:paraId="55B506BB" w14:textId="77777777" w:rsidTr="00BA3F2D">
        <w:trPr>
          <w:trHeight w:hRule="exact" w:val="947"/>
        </w:trPr>
        <w:tc>
          <w:tcPr>
            <w:tcW w:w="2547" w:type="dxa"/>
            <w:gridSpan w:val="2"/>
            <w:tcBorders>
              <w:top w:val="nil"/>
              <w:left w:val="nil"/>
              <w:bottom w:val="nil"/>
              <w:right w:val="nil"/>
            </w:tcBorders>
            <w:shd w:val="clear" w:color="auto" w:fill="F1F1F1"/>
          </w:tcPr>
          <w:p w14:paraId="510FDCDE" w14:textId="77777777" w:rsidR="002311BB" w:rsidRPr="00A13AB6" w:rsidRDefault="002311BB" w:rsidP="00BA3F2D">
            <w:pPr>
              <w:spacing w:line="278" w:lineRule="auto"/>
              <w:ind w:left="360"/>
              <w:rPr>
                <w:rFonts w:eastAsia="Arial" w:cstheme="minorHAnsi"/>
              </w:rPr>
            </w:pPr>
            <w:r w:rsidRPr="00A13AB6">
              <w:rPr>
                <w:rFonts w:eastAsia="Arial" w:cstheme="minorHAnsi"/>
              </w:rPr>
              <w:t>Average 12 Month Gap</w:t>
            </w:r>
          </w:p>
        </w:tc>
        <w:tc>
          <w:tcPr>
            <w:tcW w:w="8307" w:type="dxa"/>
            <w:tcBorders>
              <w:top w:val="nil"/>
              <w:left w:val="nil"/>
              <w:bottom w:val="nil"/>
              <w:right w:val="nil"/>
            </w:tcBorders>
            <w:shd w:val="clear" w:color="auto" w:fill="F1F1F1"/>
          </w:tcPr>
          <w:p w14:paraId="689921DD" w14:textId="77777777" w:rsidR="002311BB" w:rsidRPr="00A13AB6" w:rsidRDefault="002311BB" w:rsidP="00BA3F2D">
            <w:pPr>
              <w:spacing w:line="278" w:lineRule="auto"/>
              <w:ind w:left="360" w:right="318"/>
              <w:rPr>
                <w:rFonts w:eastAsia="Arial" w:cstheme="minorHAnsi"/>
              </w:rPr>
            </w:pPr>
            <w:r w:rsidRPr="00A13AB6">
              <w:rPr>
                <w:rFonts w:eastAsia="Arial" w:cstheme="minorHAnsi"/>
              </w:rPr>
              <w:t>The time-weighted average gap over the next four quarters. In the calculation, each incremental gap is weighted based on the remaining time left until the end of the year.</w:t>
            </w:r>
          </w:p>
        </w:tc>
      </w:tr>
      <w:tr w:rsidR="002311BB" w:rsidRPr="00A13AB6" w14:paraId="72A4A4DF" w14:textId="77777777" w:rsidTr="00BA3F2D">
        <w:trPr>
          <w:trHeight w:hRule="exact" w:val="354"/>
        </w:trPr>
        <w:tc>
          <w:tcPr>
            <w:tcW w:w="2547" w:type="dxa"/>
            <w:gridSpan w:val="2"/>
            <w:tcBorders>
              <w:top w:val="nil"/>
              <w:left w:val="nil"/>
              <w:bottom w:val="nil"/>
              <w:right w:val="nil"/>
            </w:tcBorders>
            <w:shd w:val="clear" w:color="auto" w:fill="E8E7E7"/>
          </w:tcPr>
          <w:p w14:paraId="1CD01FE8" w14:textId="77777777" w:rsidR="002311BB" w:rsidRPr="00A13AB6" w:rsidRDefault="002311BB" w:rsidP="00BA3F2D">
            <w:pPr>
              <w:spacing w:line="278" w:lineRule="auto"/>
              <w:ind w:left="360"/>
              <w:rPr>
                <w:rFonts w:eastAsia="Arial" w:cstheme="minorHAnsi"/>
              </w:rPr>
            </w:pPr>
            <w:r w:rsidRPr="00A13AB6">
              <w:rPr>
                <w:rFonts w:eastAsia="Arial" w:cstheme="minorHAnsi"/>
              </w:rPr>
              <w:t>Average Term</w:t>
            </w:r>
          </w:p>
        </w:tc>
        <w:tc>
          <w:tcPr>
            <w:tcW w:w="8307" w:type="dxa"/>
            <w:tcBorders>
              <w:top w:val="nil"/>
              <w:left w:val="nil"/>
              <w:bottom w:val="nil"/>
              <w:right w:val="nil"/>
            </w:tcBorders>
            <w:shd w:val="clear" w:color="auto" w:fill="E8E7E7"/>
          </w:tcPr>
          <w:p w14:paraId="7764D74D" w14:textId="77777777" w:rsidR="002311BB" w:rsidRPr="00A13AB6" w:rsidRDefault="002311BB" w:rsidP="00BA3F2D">
            <w:pPr>
              <w:spacing w:line="278" w:lineRule="auto"/>
              <w:ind w:left="360" w:right="318"/>
              <w:rPr>
                <w:rFonts w:eastAsia="Arial" w:cstheme="minorHAnsi"/>
              </w:rPr>
            </w:pPr>
            <w:r w:rsidRPr="00A13AB6">
              <w:rPr>
                <w:rFonts w:eastAsia="Arial" w:cstheme="minorHAnsi"/>
              </w:rPr>
              <w:t>The time-weighted average maturity or repricing of assets and liabilities.</w:t>
            </w:r>
          </w:p>
        </w:tc>
      </w:tr>
      <w:tr w:rsidR="002311BB" w:rsidRPr="00A13AB6" w14:paraId="3330D34C" w14:textId="77777777" w:rsidTr="00BA3F2D">
        <w:trPr>
          <w:trHeight w:hRule="exact" w:val="1710"/>
        </w:trPr>
        <w:tc>
          <w:tcPr>
            <w:tcW w:w="2547" w:type="dxa"/>
            <w:gridSpan w:val="2"/>
            <w:tcBorders>
              <w:top w:val="nil"/>
              <w:left w:val="nil"/>
              <w:bottom w:val="nil"/>
              <w:right w:val="nil"/>
            </w:tcBorders>
            <w:shd w:val="clear" w:color="auto" w:fill="E8E7E7"/>
          </w:tcPr>
          <w:p w14:paraId="4263A00E" w14:textId="77777777" w:rsidR="002311BB" w:rsidRPr="00A13AB6" w:rsidRDefault="002311BB" w:rsidP="00BA3F2D">
            <w:pPr>
              <w:spacing w:line="278" w:lineRule="auto"/>
              <w:ind w:left="360"/>
              <w:rPr>
                <w:rFonts w:eastAsia="Arial" w:cstheme="minorHAnsi"/>
              </w:rPr>
            </w:pPr>
            <w:r w:rsidRPr="00A13AB6">
              <w:rPr>
                <w:rFonts w:eastAsia="Arial" w:cstheme="minorHAnsi"/>
              </w:rPr>
              <w:t>Beta Adjustment</w:t>
            </w:r>
          </w:p>
        </w:tc>
        <w:tc>
          <w:tcPr>
            <w:tcW w:w="8307" w:type="dxa"/>
            <w:tcBorders>
              <w:top w:val="nil"/>
              <w:left w:val="nil"/>
              <w:bottom w:val="nil"/>
              <w:right w:val="nil"/>
            </w:tcBorders>
            <w:shd w:val="clear" w:color="auto" w:fill="E8E7E7"/>
          </w:tcPr>
          <w:p w14:paraId="0300079D" w14:textId="77777777" w:rsidR="002311BB" w:rsidRPr="00A13AB6" w:rsidRDefault="002311BB" w:rsidP="00BA3F2D">
            <w:pPr>
              <w:spacing w:line="278" w:lineRule="auto"/>
              <w:ind w:left="360" w:right="318"/>
              <w:rPr>
                <w:rFonts w:eastAsia="Arial" w:cstheme="minorHAnsi"/>
              </w:rPr>
            </w:pPr>
            <w:r w:rsidRPr="00A13AB6">
              <w:rPr>
                <w:rFonts w:eastAsia="Arial" w:cstheme="minorHAnsi"/>
              </w:rPr>
              <w:t xml:space="preserve">The percentage of total outstandings for a non-maturing balance sheet category, derived from the correlation between offering rate changes and interest rate changes. These balances will be placed in the floating bucket of the Gap report. The remaining balances are to be placed outside the gap window in the 1-3-year time bucket. These categories are: Int Bear </w:t>
            </w:r>
            <w:proofErr w:type="spellStart"/>
            <w:r w:rsidRPr="00A13AB6">
              <w:rPr>
                <w:rFonts w:eastAsia="Arial" w:cstheme="minorHAnsi"/>
              </w:rPr>
              <w:t>Chkg</w:t>
            </w:r>
            <w:proofErr w:type="spellEnd"/>
            <w:r w:rsidRPr="00A13AB6">
              <w:rPr>
                <w:rFonts w:eastAsia="Arial" w:cstheme="minorHAnsi"/>
              </w:rPr>
              <w:t xml:space="preserve">, </w:t>
            </w:r>
            <w:proofErr w:type="spellStart"/>
            <w:r w:rsidRPr="00A13AB6">
              <w:rPr>
                <w:rFonts w:eastAsia="Arial" w:cstheme="minorHAnsi"/>
              </w:rPr>
              <w:t>Svgs</w:t>
            </w:r>
            <w:proofErr w:type="spellEnd"/>
            <w:r w:rsidRPr="00A13AB6">
              <w:rPr>
                <w:rFonts w:eastAsia="Arial" w:cstheme="minorHAnsi"/>
              </w:rPr>
              <w:t>, &amp; MMDAs.</w:t>
            </w:r>
          </w:p>
        </w:tc>
      </w:tr>
      <w:tr w:rsidR="002311BB" w:rsidRPr="00A13AB6" w14:paraId="41B48CC4" w14:textId="77777777" w:rsidTr="00BA3F2D">
        <w:trPr>
          <w:trHeight w:hRule="exact" w:val="982"/>
        </w:trPr>
        <w:tc>
          <w:tcPr>
            <w:tcW w:w="2547" w:type="dxa"/>
            <w:gridSpan w:val="2"/>
            <w:tcBorders>
              <w:top w:val="nil"/>
              <w:left w:val="nil"/>
              <w:bottom w:val="nil"/>
              <w:right w:val="nil"/>
            </w:tcBorders>
            <w:shd w:val="clear" w:color="auto" w:fill="F1F1F1"/>
          </w:tcPr>
          <w:p w14:paraId="7326EC77" w14:textId="77777777" w:rsidR="002311BB" w:rsidRPr="00A13AB6" w:rsidRDefault="002311BB" w:rsidP="00BA3F2D">
            <w:pPr>
              <w:spacing w:line="278" w:lineRule="auto"/>
              <w:ind w:left="360"/>
              <w:rPr>
                <w:rFonts w:eastAsia="Arial" w:cstheme="minorHAnsi"/>
              </w:rPr>
            </w:pPr>
            <w:r w:rsidRPr="00A13AB6">
              <w:rPr>
                <w:rFonts w:eastAsia="Arial" w:cstheme="minorHAnsi"/>
              </w:rPr>
              <w:t>Capital Risk Tolerance</w:t>
            </w:r>
          </w:p>
        </w:tc>
        <w:tc>
          <w:tcPr>
            <w:tcW w:w="8307" w:type="dxa"/>
            <w:tcBorders>
              <w:top w:val="nil"/>
              <w:left w:val="nil"/>
              <w:bottom w:val="nil"/>
              <w:right w:val="nil"/>
            </w:tcBorders>
            <w:shd w:val="clear" w:color="auto" w:fill="F1F1F1"/>
          </w:tcPr>
          <w:p w14:paraId="374A8A9D" w14:textId="77777777" w:rsidR="002311BB" w:rsidRPr="00A13AB6" w:rsidRDefault="002311BB" w:rsidP="00BA3F2D">
            <w:pPr>
              <w:spacing w:line="278" w:lineRule="auto"/>
              <w:ind w:left="360" w:right="318"/>
              <w:rPr>
                <w:rFonts w:eastAsia="Arial" w:cstheme="minorHAnsi"/>
              </w:rPr>
            </w:pPr>
            <w:r w:rsidRPr="00A13AB6">
              <w:rPr>
                <w:rFonts w:eastAsia="Arial" w:cstheme="minorHAnsi"/>
              </w:rPr>
              <w:t>The reduction in bank equity that would cause the equity to fall to the minimum required ratio-to-assets. It is computed as the current capital minus the minimum capital required.</w:t>
            </w:r>
          </w:p>
        </w:tc>
      </w:tr>
      <w:tr w:rsidR="002311BB" w:rsidRPr="00A13AB6" w14:paraId="36EC24BE" w14:textId="77777777" w:rsidTr="00BA3F2D">
        <w:trPr>
          <w:trHeight w:hRule="exact" w:val="354"/>
        </w:trPr>
        <w:tc>
          <w:tcPr>
            <w:tcW w:w="2547" w:type="dxa"/>
            <w:gridSpan w:val="2"/>
            <w:tcBorders>
              <w:top w:val="nil"/>
              <w:left w:val="nil"/>
              <w:bottom w:val="nil"/>
              <w:right w:val="nil"/>
            </w:tcBorders>
            <w:shd w:val="clear" w:color="auto" w:fill="E8E7E7"/>
          </w:tcPr>
          <w:p w14:paraId="46890BFA" w14:textId="77777777" w:rsidR="002311BB" w:rsidRPr="00A13AB6" w:rsidRDefault="002311BB" w:rsidP="00BA3F2D">
            <w:pPr>
              <w:spacing w:line="278" w:lineRule="auto"/>
              <w:ind w:left="360"/>
              <w:rPr>
                <w:rFonts w:eastAsia="Arial" w:cstheme="minorHAnsi"/>
              </w:rPr>
            </w:pPr>
            <w:r w:rsidRPr="00A13AB6">
              <w:rPr>
                <w:rFonts w:eastAsia="Arial" w:cstheme="minorHAnsi"/>
              </w:rPr>
              <w:t>Cumulative Gap</w:t>
            </w:r>
          </w:p>
        </w:tc>
        <w:tc>
          <w:tcPr>
            <w:tcW w:w="8307" w:type="dxa"/>
            <w:tcBorders>
              <w:top w:val="nil"/>
              <w:left w:val="nil"/>
              <w:bottom w:val="nil"/>
              <w:right w:val="nil"/>
            </w:tcBorders>
            <w:shd w:val="clear" w:color="auto" w:fill="E8E7E7"/>
          </w:tcPr>
          <w:p w14:paraId="129D4852" w14:textId="77777777" w:rsidR="002311BB" w:rsidRPr="00A13AB6" w:rsidRDefault="002311BB" w:rsidP="00BA3F2D">
            <w:pPr>
              <w:spacing w:line="278" w:lineRule="auto"/>
              <w:ind w:left="360" w:right="858"/>
              <w:rPr>
                <w:rFonts w:eastAsia="Arial" w:cstheme="minorHAnsi"/>
              </w:rPr>
            </w:pPr>
            <w:r w:rsidRPr="00A13AB6">
              <w:rPr>
                <w:rFonts w:eastAsia="Arial" w:cstheme="minorHAnsi"/>
              </w:rPr>
              <w:t>The sum of the periodic rate sensitivity gaps over the next 12 months.</w:t>
            </w:r>
          </w:p>
        </w:tc>
      </w:tr>
      <w:tr w:rsidR="002311BB" w:rsidRPr="00A13AB6" w14:paraId="35DCE483" w14:textId="77777777" w:rsidTr="00BA3F2D">
        <w:trPr>
          <w:trHeight w:hRule="exact" w:val="973"/>
        </w:trPr>
        <w:tc>
          <w:tcPr>
            <w:tcW w:w="2547" w:type="dxa"/>
            <w:gridSpan w:val="2"/>
            <w:tcBorders>
              <w:top w:val="nil"/>
              <w:left w:val="nil"/>
              <w:bottom w:val="nil"/>
              <w:right w:val="nil"/>
            </w:tcBorders>
            <w:shd w:val="clear" w:color="auto" w:fill="F1F1F1"/>
          </w:tcPr>
          <w:p w14:paraId="1C4A5448" w14:textId="77777777" w:rsidR="002311BB" w:rsidRPr="00A13AB6" w:rsidRDefault="002311BB" w:rsidP="00BA3F2D">
            <w:pPr>
              <w:spacing w:line="278" w:lineRule="auto"/>
              <w:ind w:left="360"/>
              <w:rPr>
                <w:rFonts w:eastAsia="Arial" w:cstheme="minorHAnsi"/>
              </w:rPr>
            </w:pPr>
            <w:r w:rsidRPr="00A13AB6">
              <w:rPr>
                <w:rFonts w:eastAsia="Arial" w:cstheme="minorHAnsi"/>
              </w:rPr>
              <w:t>Dollars at Risk</w:t>
            </w:r>
          </w:p>
        </w:tc>
        <w:tc>
          <w:tcPr>
            <w:tcW w:w="8307" w:type="dxa"/>
            <w:tcBorders>
              <w:top w:val="nil"/>
              <w:left w:val="nil"/>
              <w:bottom w:val="nil"/>
              <w:right w:val="nil"/>
            </w:tcBorders>
            <w:shd w:val="clear" w:color="auto" w:fill="F1F1F1"/>
          </w:tcPr>
          <w:p w14:paraId="6A901E07" w14:textId="77777777" w:rsidR="002311BB" w:rsidRPr="00A13AB6" w:rsidRDefault="002311BB" w:rsidP="00BA3F2D">
            <w:pPr>
              <w:spacing w:line="278" w:lineRule="auto"/>
              <w:ind w:left="360" w:right="408"/>
              <w:rPr>
                <w:rFonts w:eastAsia="Arial" w:cstheme="minorHAnsi"/>
              </w:rPr>
            </w:pPr>
            <w:r w:rsidRPr="00A13AB6">
              <w:rPr>
                <w:rFonts w:eastAsia="Arial" w:cstheme="minorHAnsi"/>
              </w:rPr>
              <w:t>The actual income loss in dollars due to rate change from the current level. It is computed by subtracting the net interest income, at each Rate Shock level, from the current or zero change level. Only potential losses are reported.</w:t>
            </w:r>
          </w:p>
        </w:tc>
      </w:tr>
      <w:tr w:rsidR="002311BB" w:rsidRPr="00A13AB6" w14:paraId="15ECAAE2" w14:textId="77777777" w:rsidTr="00BA3F2D">
        <w:trPr>
          <w:trHeight w:hRule="exact" w:val="1017"/>
        </w:trPr>
        <w:tc>
          <w:tcPr>
            <w:tcW w:w="2547" w:type="dxa"/>
            <w:gridSpan w:val="2"/>
            <w:tcBorders>
              <w:top w:val="nil"/>
              <w:left w:val="nil"/>
              <w:bottom w:val="nil"/>
              <w:right w:val="nil"/>
            </w:tcBorders>
            <w:shd w:val="clear" w:color="auto" w:fill="E8E7E7"/>
          </w:tcPr>
          <w:p w14:paraId="763733A1" w14:textId="77777777" w:rsidR="002311BB" w:rsidRPr="00A13AB6" w:rsidRDefault="002311BB" w:rsidP="00BA3F2D">
            <w:pPr>
              <w:spacing w:line="278" w:lineRule="auto"/>
              <w:ind w:left="360" w:right="360"/>
              <w:rPr>
                <w:rFonts w:eastAsia="Arial" w:cstheme="minorHAnsi"/>
              </w:rPr>
            </w:pPr>
            <w:r w:rsidRPr="00A13AB6">
              <w:rPr>
                <w:rFonts w:eastAsia="Arial" w:cstheme="minorHAnsi"/>
              </w:rPr>
              <w:t>Duration</w:t>
            </w:r>
          </w:p>
        </w:tc>
        <w:tc>
          <w:tcPr>
            <w:tcW w:w="8307" w:type="dxa"/>
            <w:tcBorders>
              <w:top w:val="nil"/>
              <w:left w:val="nil"/>
              <w:bottom w:val="nil"/>
              <w:right w:val="nil"/>
            </w:tcBorders>
            <w:shd w:val="clear" w:color="auto" w:fill="E8E7E7"/>
          </w:tcPr>
          <w:p w14:paraId="3EC4909D" w14:textId="77777777" w:rsidR="002311BB" w:rsidRPr="00A13AB6" w:rsidRDefault="002311BB" w:rsidP="00BA3F2D">
            <w:pPr>
              <w:spacing w:line="278" w:lineRule="auto"/>
              <w:ind w:left="360" w:right="408"/>
              <w:rPr>
                <w:rFonts w:eastAsia="Arial" w:cstheme="minorHAnsi"/>
              </w:rPr>
            </w:pPr>
            <w:r w:rsidRPr="00A13AB6">
              <w:rPr>
                <w:rFonts w:eastAsia="Arial" w:cstheme="minorHAnsi"/>
              </w:rPr>
              <w:t>The percent change in market value (price) of a financial instrument for every 100bp change in interest rates. Duration is usually expressed in months. Divide the Duration in months by 12 to convert to a percentage.</w:t>
            </w:r>
          </w:p>
        </w:tc>
      </w:tr>
      <w:tr w:rsidR="002311BB" w:rsidRPr="00A13AB6" w14:paraId="6EC29FC0" w14:textId="77777777" w:rsidTr="00BA3F2D">
        <w:trPr>
          <w:trHeight w:hRule="exact" w:val="720"/>
        </w:trPr>
        <w:tc>
          <w:tcPr>
            <w:tcW w:w="2547" w:type="dxa"/>
            <w:gridSpan w:val="2"/>
            <w:tcBorders>
              <w:top w:val="nil"/>
              <w:left w:val="nil"/>
              <w:bottom w:val="nil"/>
              <w:right w:val="nil"/>
            </w:tcBorders>
            <w:shd w:val="clear" w:color="auto" w:fill="F1F1F1"/>
          </w:tcPr>
          <w:p w14:paraId="33645D65" w14:textId="77777777" w:rsidR="002311BB" w:rsidRPr="00A13AB6" w:rsidRDefault="002311BB" w:rsidP="00BA3F2D">
            <w:pPr>
              <w:spacing w:line="278" w:lineRule="auto"/>
              <w:ind w:left="360" w:right="360"/>
              <w:rPr>
                <w:rFonts w:eastAsia="Arial" w:cstheme="minorHAnsi"/>
              </w:rPr>
            </w:pPr>
            <w:r w:rsidRPr="00A13AB6">
              <w:rPr>
                <w:rFonts w:eastAsia="Arial" w:cstheme="minorHAnsi"/>
              </w:rPr>
              <w:t>Economic Value of Equity (EVE)</w:t>
            </w:r>
          </w:p>
        </w:tc>
        <w:tc>
          <w:tcPr>
            <w:tcW w:w="8307" w:type="dxa"/>
            <w:tcBorders>
              <w:top w:val="nil"/>
              <w:left w:val="nil"/>
              <w:bottom w:val="nil"/>
              <w:right w:val="nil"/>
            </w:tcBorders>
            <w:shd w:val="clear" w:color="auto" w:fill="F1F1F1"/>
          </w:tcPr>
          <w:p w14:paraId="2C5FB57F" w14:textId="77777777" w:rsidR="002311BB" w:rsidRPr="00A13AB6" w:rsidRDefault="002311BB" w:rsidP="00BA3F2D">
            <w:pPr>
              <w:spacing w:line="278" w:lineRule="auto"/>
              <w:ind w:left="360" w:right="408"/>
              <w:rPr>
                <w:rFonts w:eastAsia="Arial" w:cstheme="minorHAnsi"/>
              </w:rPr>
            </w:pPr>
            <w:bookmarkStart w:id="2" w:name="_Hlk191988757"/>
            <w:r w:rsidRPr="00A13AB6">
              <w:rPr>
                <w:rFonts w:eastAsia="Arial" w:cstheme="minorHAnsi"/>
              </w:rPr>
              <w:t>EVE is the present value of assets less the present value of liabilities using a discounted cash flow method.  </w:t>
            </w:r>
            <w:bookmarkEnd w:id="2"/>
          </w:p>
        </w:tc>
      </w:tr>
      <w:tr w:rsidR="002311BB" w:rsidRPr="00A13AB6" w14:paraId="0D8D21A3" w14:textId="77777777" w:rsidTr="00BA3F2D">
        <w:trPr>
          <w:trHeight w:hRule="exact" w:val="973"/>
        </w:trPr>
        <w:tc>
          <w:tcPr>
            <w:tcW w:w="2547" w:type="dxa"/>
            <w:gridSpan w:val="2"/>
            <w:tcBorders>
              <w:top w:val="nil"/>
              <w:left w:val="nil"/>
              <w:bottom w:val="nil"/>
              <w:right w:val="nil"/>
            </w:tcBorders>
            <w:shd w:val="clear" w:color="auto" w:fill="E8E7E7"/>
          </w:tcPr>
          <w:p w14:paraId="3B77880E" w14:textId="77777777" w:rsidR="002311BB" w:rsidRPr="00A13AB6" w:rsidRDefault="002311BB" w:rsidP="00BA3F2D">
            <w:pPr>
              <w:spacing w:line="278" w:lineRule="auto"/>
              <w:ind w:left="360" w:right="360"/>
              <w:rPr>
                <w:rFonts w:eastAsia="Arial" w:cstheme="minorHAnsi"/>
              </w:rPr>
            </w:pPr>
            <w:r w:rsidRPr="00A13AB6">
              <w:rPr>
                <w:rFonts w:eastAsia="Arial" w:cstheme="minorHAnsi"/>
              </w:rPr>
              <w:t>Floating</w:t>
            </w:r>
          </w:p>
        </w:tc>
        <w:tc>
          <w:tcPr>
            <w:tcW w:w="8307" w:type="dxa"/>
            <w:tcBorders>
              <w:top w:val="nil"/>
              <w:left w:val="nil"/>
              <w:bottom w:val="nil"/>
              <w:right w:val="nil"/>
            </w:tcBorders>
            <w:shd w:val="clear" w:color="auto" w:fill="E8E7E7"/>
          </w:tcPr>
          <w:p w14:paraId="73AB4BF0" w14:textId="77777777" w:rsidR="002311BB" w:rsidRPr="00A13AB6" w:rsidRDefault="002311BB" w:rsidP="00BA3F2D">
            <w:pPr>
              <w:spacing w:line="278" w:lineRule="auto"/>
              <w:ind w:left="360" w:right="408"/>
              <w:rPr>
                <w:rFonts w:eastAsia="Arial" w:cstheme="minorHAnsi"/>
              </w:rPr>
            </w:pPr>
            <w:r w:rsidRPr="00A13AB6">
              <w:rPr>
                <w:rFonts w:eastAsia="Arial" w:cstheme="minorHAnsi"/>
              </w:rPr>
              <w:t>A time bucket in the Gap report indicating immediately repriceable and floating rate balances. In the Rate Shock analysis, rates on these balances will change as rates change.</w:t>
            </w:r>
          </w:p>
        </w:tc>
      </w:tr>
      <w:tr w:rsidR="002311BB" w:rsidRPr="00A13AB6" w14:paraId="3A954959" w14:textId="77777777" w:rsidTr="00BA3F2D">
        <w:trPr>
          <w:trHeight w:hRule="exact" w:val="672"/>
        </w:trPr>
        <w:tc>
          <w:tcPr>
            <w:tcW w:w="2547" w:type="dxa"/>
            <w:gridSpan w:val="2"/>
            <w:tcBorders>
              <w:top w:val="nil"/>
              <w:left w:val="nil"/>
              <w:bottom w:val="nil"/>
              <w:right w:val="nil"/>
            </w:tcBorders>
            <w:shd w:val="clear" w:color="auto" w:fill="F1F1F1"/>
          </w:tcPr>
          <w:p w14:paraId="7A502FF8" w14:textId="77777777" w:rsidR="002311BB" w:rsidRPr="00A13AB6" w:rsidRDefault="002311BB" w:rsidP="00BA3F2D">
            <w:pPr>
              <w:spacing w:line="278" w:lineRule="auto"/>
              <w:ind w:left="360" w:right="360"/>
              <w:rPr>
                <w:rFonts w:eastAsia="Arial" w:cstheme="minorHAnsi"/>
              </w:rPr>
            </w:pPr>
            <w:r w:rsidRPr="00A13AB6">
              <w:rPr>
                <w:rFonts w:eastAsia="Arial" w:cstheme="minorHAnsi"/>
              </w:rPr>
              <w:t>Fully Tax Equivalent</w:t>
            </w:r>
          </w:p>
          <w:p w14:paraId="714D416A" w14:textId="77777777" w:rsidR="002311BB" w:rsidRPr="00A13AB6" w:rsidRDefault="002311BB" w:rsidP="00BA3F2D">
            <w:pPr>
              <w:spacing w:line="278" w:lineRule="auto"/>
              <w:ind w:left="360" w:right="360"/>
              <w:rPr>
                <w:rFonts w:eastAsia="Arial" w:cstheme="minorHAnsi"/>
              </w:rPr>
            </w:pPr>
            <w:r w:rsidRPr="00A13AB6">
              <w:rPr>
                <w:rFonts w:eastAsia="Arial" w:cstheme="minorHAnsi"/>
              </w:rPr>
              <w:t>(FTE)</w:t>
            </w:r>
          </w:p>
        </w:tc>
        <w:tc>
          <w:tcPr>
            <w:tcW w:w="8307" w:type="dxa"/>
            <w:tcBorders>
              <w:top w:val="nil"/>
              <w:left w:val="nil"/>
              <w:bottom w:val="nil"/>
              <w:right w:val="nil"/>
            </w:tcBorders>
            <w:shd w:val="clear" w:color="auto" w:fill="F1F1F1"/>
          </w:tcPr>
          <w:p w14:paraId="3BD37752" w14:textId="77777777" w:rsidR="002311BB" w:rsidRPr="00A13AB6" w:rsidRDefault="002311BB" w:rsidP="00BA3F2D">
            <w:pPr>
              <w:spacing w:line="278" w:lineRule="auto"/>
              <w:ind w:left="360" w:right="408"/>
              <w:rPr>
                <w:rFonts w:eastAsia="Arial" w:cstheme="minorHAnsi"/>
              </w:rPr>
            </w:pPr>
            <w:r w:rsidRPr="00A13AB6">
              <w:rPr>
                <w:rFonts w:eastAsia="Arial" w:cstheme="minorHAnsi"/>
              </w:rPr>
              <w:t>This is the adjustment to yield and margin that accounts for the non-taxable or partial taxability of some investments and loans.</w:t>
            </w:r>
          </w:p>
        </w:tc>
      </w:tr>
      <w:tr w:rsidR="002311BB" w:rsidRPr="00A13AB6" w14:paraId="0F0FE32A" w14:textId="77777777" w:rsidTr="00BA3F2D">
        <w:trPr>
          <w:trHeight w:hRule="exact" w:val="929"/>
        </w:trPr>
        <w:tc>
          <w:tcPr>
            <w:tcW w:w="2547" w:type="dxa"/>
            <w:gridSpan w:val="2"/>
            <w:tcBorders>
              <w:top w:val="nil"/>
              <w:left w:val="nil"/>
              <w:bottom w:val="nil"/>
              <w:right w:val="nil"/>
            </w:tcBorders>
            <w:shd w:val="clear" w:color="auto" w:fill="E8E7E7"/>
          </w:tcPr>
          <w:p w14:paraId="0C2BBCE4" w14:textId="77777777" w:rsidR="002311BB" w:rsidRPr="00A13AB6" w:rsidRDefault="002311BB" w:rsidP="00BA3F2D">
            <w:pPr>
              <w:spacing w:line="278" w:lineRule="auto"/>
              <w:ind w:left="360" w:right="360"/>
              <w:rPr>
                <w:rFonts w:eastAsia="Arial" w:cstheme="minorHAnsi"/>
              </w:rPr>
            </w:pPr>
            <w:r w:rsidRPr="00A13AB6">
              <w:rPr>
                <w:rFonts w:eastAsia="Arial" w:cstheme="minorHAnsi"/>
              </w:rPr>
              <w:t>Margin Risk Tolerance</w:t>
            </w:r>
          </w:p>
        </w:tc>
        <w:tc>
          <w:tcPr>
            <w:tcW w:w="8307" w:type="dxa"/>
            <w:tcBorders>
              <w:top w:val="nil"/>
              <w:left w:val="nil"/>
              <w:bottom w:val="nil"/>
              <w:right w:val="nil"/>
            </w:tcBorders>
            <w:shd w:val="clear" w:color="auto" w:fill="E8E7E7"/>
          </w:tcPr>
          <w:p w14:paraId="04FA3D57" w14:textId="77777777" w:rsidR="002311BB" w:rsidRPr="00A13AB6" w:rsidRDefault="002311BB" w:rsidP="00BA3F2D">
            <w:pPr>
              <w:spacing w:line="278" w:lineRule="auto"/>
              <w:ind w:left="360" w:right="408"/>
              <w:rPr>
                <w:rFonts w:eastAsia="Arial" w:cstheme="minorHAnsi"/>
              </w:rPr>
            </w:pPr>
            <w:r w:rsidRPr="00A13AB6">
              <w:rPr>
                <w:rFonts w:eastAsia="Arial" w:cstheme="minorHAnsi"/>
              </w:rPr>
              <w:t>The difference between the bank's current net interest margin and its minimum required margin needed to meet all expenditures, including dividends and capital formation (if needed).</w:t>
            </w:r>
          </w:p>
        </w:tc>
      </w:tr>
      <w:tr w:rsidR="002311BB" w:rsidRPr="00A13AB6" w14:paraId="2BEBEA41" w14:textId="77777777" w:rsidTr="00BA3F2D">
        <w:trPr>
          <w:trHeight w:hRule="exact" w:val="693"/>
        </w:trPr>
        <w:tc>
          <w:tcPr>
            <w:tcW w:w="2547" w:type="dxa"/>
            <w:gridSpan w:val="2"/>
            <w:tcBorders>
              <w:top w:val="nil"/>
              <w:left w:val="nil"/>
              <w:bottom w:val="nil"/>
              <w:right w:val="nil"/>
            </w:tcBorders>
            <w:shd w:val="clear" w:color="auto" w:fill="F1F1F1"/>
          </w:tcPr>
          <w:p w14:paraId="6F8A6A58" w14:textId="77777777" w:rsidR="002311BB" w:rsidRPr="00A13AB6" w:rsidRDefault="002311BB" w:rsidP="00BA3F2D">
            <w:pPr>
              <w:spacing w:line="278" w:lineRule="auto"/>
              <w:ind w:left="360" w:right="360"/>
              <w:rPr>
                <w:rFonts w:eastAsia="Arial" w:cstheme="minorHAnsi"/>
              </w:rPr>
            </w:pPr>
            <w:r w:rsidRPr="00A13AB6">
              <w:rPr>
                <w:rFonts w:eastAsia="Arial" w:cstheme="minorHAnsi"/>
              </w:rPr>
              <w:t>Market Rate</w:t>
            </w:r>
          </w:p>
        </w:tc>
        <w:tc>
          <w:tcPr>
            <w:tcW w:w="8307" w:type="dxa"/>
            <w:tcBorders>
              <w:top w:val="nil"/>
              <w:left w:val="nil"/>
              <w:bottom w:val="nil"/>
              <w:right w:val="nil"/>
            </w:tcBorders>
            <w:shd w:val="clear" w:color="auto" w:fill="F1F1F1"/>
          </w:tcPr>
          <w:p w14:paraId="2C1E92A1" w14:textId="77777777" w:rsidR="002311BB" w:rsidRPr="00A13AB6" w:rsidRDefault="002311BB" w:rsidP="00BA3F2D">
            <w:pPr>
              <w:spacing w:line="278" w:lineRule="auto"/>
              <w:ind w:left="360" w:right="408"/>
              <w:rPr>
                <w:rFonts w:eastAsia="Arial" w:cstheme="minorHAnsi"/>
              </w:rPr>
            </w:pPr>
            <w:r w:rsidRPr="00A13AB6">
              <w:rPr>
                <w:rFonts w:eastAsia="Arial" w:cstheme="minorHAnsi"/>
              </w:rPr>
              <w:t>This is the current competitive rate on new loans within the bank's trade area. The market rate is used as the discounting rate in the market value calculation.</w:t>
            </w:r>
          </w:p>
        </w:tc>
      </w:tr>
      <w:tr w:rsidR="002311BB" w:rsidRPr="00A13AB6" w14:paraId="1AA9EAAE" w14:textId="77777777" w:rsidTr="00BA3F2D">
        <w:trPr>
          <w:trHeight w:hRule="exact" w:val="1332"/>
        </w:trPr>
        <w:tc>
          <w:tcPr>
            <w:tcW w:w="2520" w:type="dxa"/>
            <w:tcBorders>
              <w:top w:val="nil"/>
              <w:left w:val="nil"/>
              <w:bottom w:val="nil"/>
              <w:right w:val="nil"/>
            </w:tcBorders>
            <w:shd w:val="clear" w:color="auto" w:fill="E8E7E7"/>
          </w:tcPr>
          <w:p w14:paraId="14868932" w14:textId="77777777" w:rsidR="002311BB" w:rsidRPr="00A13AB6" w:rsidRDefault="002311BB" w:rsidP="00BA3F2D">
            <w:pPr>
              <w:spacing w:line="278" w:lineRule="auto"/>
              <w:ind w:left="360" w:right="360"/>
              <w:rPr>
                <w:rFonts w:eastAsia="Arial" w:cstheme="minorHAnsi"/>
              </w:rPr>
            </w:pPr>
            <w:r w:rsidRPr="00A13AB6">
              <w:rPr>
                <w:rFonts w:eastAsia="Arial" w:cstheme="minorHAnsi"/>
              </w:rPr>
              <w:t>Minimum Margin</w:t>
            </w:r>
          </w:p>
        </w:tc>
        <w:tc>
          <w:tcPr>
            <w:tcW w:w="8334" w:type="dxa"/>
            <w:gridSpan w:val="2"/>
            <w:tcBorders>
              <w:top w:val="nil"/>
              <w:left w:val="nil"/>
              <w:bottom w:val="nil"/>
              <w:right w:val="nil"/>
            </w:tcBorders>
            <w:shd w:val="clear" w:color="auto" w:fill="E8E7E7"/>
          </w:tcPr>
          <w:p w14:paraId="084A04E1" w14:textId="77777777" w:rsidR="002311BB" w:rsidRPr="00A13AB6" w:rsidRDefault="002311BB" w:rsidP="00BA3F2D">
            <w:pPr>
              <w:spacing w:line="278" w:lineRule="auto"/>
              <w:ind w:left="360" w:right="408"/>
              <w:rPr>
                <w:rFonts w:eastAsia="Arial" w:cstheme="minorHAnsi"/>
              </w:rPr>
            </w:pPr>
            <w:r w:rsidRPr="00A13AB6">
              <w:rPr>
                <w:rFonts w:eastAsia="Arial" w:cstheme="minorHAnsi"/>
              </w:rPr>
              <w:t>This is the net interest margin needed to meet all expenditures as well as dividends and capital formation if needed. If the net interest margin falls below the minimum, then capital formation, and ultimately the capital ratio, will fall.</w:t>
            </w:r>
          </w:p>
        </w:tc>
      </w:tr>
      <w:tr w:rsidR="002311BB" w:rsidRPr="00A13AB6" w14:paraId="3C9FCF27" w14:textId="77777777" w:rsidTr="00BA3F2D">
        <w:trPr>
          <w:trHeight w:hRule="exact" w:val="720"/>
        </w:trPr>
        <w:tc>
          <w:tcPr>
            <w:tcW w:w="2547" w:type="dxa"/>
            <w:gridSpan w:val="2"/>
            <w:tcBorders>
              <w:top w:val="nil"/>
              <w:left w:val="nil"/>
              <w:bottom w:val="nil"/>
              <w:right w:val="nil"/>
            </w:tcBorders>
            <w:shd w:val="clear" w:color="auto" w:fill="F1F1F1"/>
          </w:tcPr>
          <w:p w14:paraId="039CDEDF" w14:textId="77777777" w:rsidR="002311BB" w:rsidRPr="00A13AB6" w:rsidRDefault="002311BB" w:rsidP="00BA3F2D">
            <w:pPr>
              <w:spacing w:line="278" w:lineRule="auto"/>
              <w:ind w:left="360" w:right="360"/>
              <w:rPr>
                <w:rFonts w:eastAsia="Arial" w:cstheme="minorHAnsi"/>
              </w:rPr>
            </w:pPr>
            <w:r w:rsidRPr="00A13AB6">
              <w:rPr>
                <w:rFonts w:eastAsia="Arial" w:cstheme="minorHAnsi"/>
              </w:rPr>
              <w:t>Rate Sensitivity Gap</w:t>
            </w:r>
          </w:p>
          <w:p w14:paraId="341EB354" w14:textId="77777777" w:rsidR="002311BB" w:rsidRPr="00A13AB6" w:rsidRDefault="002311BB" w:rsidP="00BA3F2D">
            <w:pPr>
              <w:rPr>
                <w:rFonts w:eastAsia="Arial" w:cstheme="minorHAnsi"/>
              </w:rPr>
            </w:pPr>
          </w:p>
          <w:p w14:paraId="18D27EB3" w14:textId="77777777" w:rsidR="002311BB" w:rsidRPr="00A13AB6" w:rsidRDefault="002311BB" w:rsidP="00BA3F2D">
            <w:pPr>
              <w:rPr>
                <w:rFonts w:eastAsia="Arial" w:cstheme="minorHAnsi"/>
              </w:rPr>
            </w:pPr>
          </w:p>
          <w:p w14:paraId="5E53630E" w14:textId="77777777" w:rsidR="002311BB" w:rsidRPr="00A13AB6" w:rsidRDefault="002311BB" w:rsidP="00BA3F2D">
            <w:pPr>
              <w:rPr>
                <w:rFonts w:eastAsia="Arial" w:cstheme="minorHAnsi"/>
              </w:rPr>
            </w:pPr>
          </w:p>
          <w:p w14:paraId="400BFB9C" w14:textId="77777777" w:rsidR="002311BB" w:rsidRPr="00A13AB6" w:rsidRDefault="002311BB" w:rsidP="00BA3F2D">
            <w:pPr>
              <w:jc w:val="center"/>
              <w:rPr>
                <w:rFonts w:eastAsia="Arial" w:cstheme="minorHAnsi"/>
              </w:rPr>
            </w:pPr>
          </w:p>
        </w:tc>
        <w:tc>
          <w:tcPr>
            <w:tcW w:w="8307" w:type="dxa"/>
            <w:tcBorders>
              <w:top w:val="nil"/>
              <w:left w:val="nil"/>
              <w:bottom w:val="nil"/>
              <w:right w:val="nil"/>
            </w:tcBorders>
            <w:shd w:val="clear" w:color="auto" w:fill="F1F1F1"/>
          </w:tcPr>
          <w:p w14:paraId="26C05C40" w14:textId="77777777" w:rsidR="002311BB" w:rsidRPr="00A13AB6" w:rsidRDefault="002311BB" w:rsidP="00BA3F2D">
            <w:pPr>
              <w:spacing w:line="278" w:lineRule="auto"/>
              <w:ind w:left="360" w:right="360"/>
              <w:rPr>
                <w:rFonts w:eastAsia="Arial" w:cstheme="minorHAnsi"/>
              </w:rPr>
            </w:pPr>
            <w:r w:rsidRPr="00A13AB6">
              <w:rPr>
                <w:rFonts w:eastAsia="Arial" w:cstheme="minorHAnsi"/>
              </w:rPr>
              <w:t xml:space="preserve">The difference between repricing or maturing assets and liabilities </w:t>
            </w:r>
            <w:proofErr w:type="gramStart"/>
            <w:r w:rsidRPr="00A13AB6">
              <w:rPr>
                <w:rFonts w:eastAsia="Arial" w:cstheme="minorHAnsi"/>
              </w:rPr>
              <w:t>in a given</w:t>
            </w:r>
            <w:proofErr w:type="gramEnd"/>
            <w:r w:rsidRPr="00A13AB6">
              <w:rPr>
                <w:rFonts w:eastAsia="Arial" w:cstheme="minorHAnsi"/>
              </w:rPr>
              <w:t xml:space="preserve"> </w:t>
            </w:r>
            <w:proofErr w:type="gramStart"/>
            <w:r w:rsidRPr="00A13AB6">
              <w:rPr>
                <w:rFonts w:eastAsia="Arial" w:cstheme="minorHAnsi"/>
              </w:rPr>
              <w:t>time period</w:t>
            </w:r>
            <w:proofErr w:type="gramEnd"/>
            <w:r w:rsidRPr="00A13AB6">
              <w:rPr>
                <w:rFonts w:eastAsia="Arial" w:cstheme="minorHAnsi"/>
              </w:rPr>
              <w:t>.</w:t>
            </w:r>
          </w:p>
        </w:tc>
      </w:tr>
      <w:tr w:rsidR="002311BB" w:rsidRPr="00A13AB6" w14:paraId="764F94D7" w14:textId="77777777" w:rsidTr="00BA3F2D">
        <w:trPr>
          <w:trHeight w:hRule="exact" w:val="947"/>
        </w:trPr>
        <w:tc>
          <w:tcPr>
            <w:tcW w:w="2547" w:type="dxa"/>
            <w:gridSpan w:val="2"/>
            <w:tcBorders>
              <w:top w:val="nil"/>
              <w:left w:val="nil"/>
              <w:bottom w:val="nil"/>
              <w:right w:val="nil"/>
            </w:tcBorders>
            <w:shd w:val="clear" w:color="auto" w:fill="E8E7E7"/>
          </w:tcPr>
          <w:p w14:paraId="59DAE515" w14:textId="77777777" w:rsidR="002311BB" w:rsidRPr="00A13AB6" w:rsidRDefault="002311BB" w:rsidP="00BA3F2D">
            <w:pPr>
              <w:spacing w:line="278" w:lineRule="auto"/>
              <w:ind w:left="360" w:right="360"/>
              <w:rPr>
                <w:rFonts w:eastAsia="Arial" w:cstheme="minorHAnsi"/>
              </w:rPr>
            </w:pPr>
            <w:r w:rsidRPr="00A13AB6">
              <w:rPr>
                <w:rFonts w:eastAsia="Arial" w:cstheme="minorHAnsi"/>
              </w:rPr>
              <w:t>Rate Speed Change</w:t>
            </w:r>
          </w:p>
          <w:p w14:paraId="3D932F45" w14:textId="77777777" w:rsidR="002311BB" w:rsidRPr="00A13AB6" w:rsidRDefault="002311BB" w:rsidP="00BA3F2D">
            <w:pPr>
              <w:spacing w:line="278" w:lineRule="auto"/>
              <w:ind w:left="360" w:right="360"/>
              <w:rPr>
                <w:rFonts w:eastAsia="Arial" w:cstheme="minorHAnsi"/>
              </w:rPr>
            </w:pPr>
            <w:r w:rsidRPr="00A13AB6">
              <w:rPr>
                <w:rFonts w:eastAsia="Arial" w:cstheme="minorHAnsi"/>
              </w:rPr>
              <w:t>Adjustment</w:t>
            </w:r>
          </w:p>
        </w:tc>
        <w:tc>
          <w:tcPr>
            <w:tcW w:w="8307" w:type="dxa"/>
            <w:tcBorders>
              <w:top w:val="nil"/>
              <w:left w:val="nil"/>
              <w:bottom w:val="nil"/>
              <w:right w:val="nil"/>
            </w:tcBorders>
            <w:shd w:val="clear" w:color="auto" w:fill="E8E7E7"/>
          </w:tcPr>
          <w:p w14:paraId="52893F56" w14:textId="77777777" w:rsidR="002311BB" w:rsidRPr="00A13AB6" w:rsidRDefault="002311BB" w:rsidP="00BA3F2D">
            <w:pPr>
              <w:spacing w:line="278" w:lineRule="auto"/>
              <w:ind w:left="360" w:right="498"/>
              <w:rPr>
                <w:rFonts w:eastAsia="Arial" w:cstheme="minorHAnsi"/>
              </w:rPr>
            </w:pPr>
            <w:r w:rsidRPr="00A13AB6">
              <w:rPr>
                <w:rFonts w:eastAsia="Arial" w:cstheme="minorHAnsi"/>
              </w:rPr>
              <w:t>Rate change speed for non-maturing balances analyzed from historical data to calibrate their change relative to interest rate changes. This typically has the effect of lengthening the average repricing life of these balances.</w:t>
            </w:r>
          </w:p>
        </w:tc>
      </w:tr>
      <w:tr w:rsidR="002311BB" w:rsidRPr="00A13AB6" w14:paraId="5963C598" w14:textId="77777777" w:rsidTr="00BA3F2D">
        <w:trPr>
          <w:trHeight w:hRule="exact" w:val="1305"/>
        </w:trPr>
        <w:tc>
          <w:tcPr>
            <w:tcW w:w="2547" w:type="dxa"/>
            <w:gridSpan w:val="2"/>
            <w:tcBorders>
              <w:top w:val="nil"/>
              <w:left w:val="nil"/>
              <w:bottom w:val="nil"/>
              <w:right w:val="nil"/>
            </w:tcBorders>
            <w:shd w:val="clear" w:color="auto" w:fill="F1F1F1"/>
          </w:tcPr>
          <w:p w14:paraId="660DEAB3" w14:textId="77777777" w:rsidR="002311BB" w:rsidRPr="00A13AB6" w:rsidRDefault="002311BB" w:rsidP="00BA3F2D">
            <w:pPr>
              <w:spacing w:line="278" w:lineRule="auto"/>
              <w:ind w:left="360" w:right="360"/>
              <w:rPr>
                <w:rFonts w:eastAsia="Arial" w:cstheme="minorHAnsi"/>
              </w:rPr>
            </w:pPr>
            <w:r w:rsidRPr="00A13AB6">
              <w:rPr>
                <w:rFonts w:eastAsia="Arial" w:cstheme="minorHAnsi"/>
              </w:rPr>
              <w:lastRenderedPageBreak/>
              <w:t>Rate Shock</w:t>
            </w:r>
          </w:p>
        </w:tc>
        <w:tc>
          <w:tcPr>
            <w:tcW w:w="8307" w:type="dxa"/>
            <w:tcBorders>
              <w:top w:val="nil"/>
              <w:left w:val="nil"/>
              <w:bottom w:val="nil"/>
              <w:right w:val="nil"/>
            </w:tcBorders>
            <w:shd w:val="clear" w:color="auto" w:fill="F1F1F1"/>
          </w:tcPr>
          <w:p w14:paraId="3EF1B2C3" w14:textId="77777777" w:rsidR="002311BB" w:rsidRPr="00A13AB6" w:rsidRDefault="002311BB" w:rsidP="00BA3F2D">
            <w:pPr>
              <w:spacing w:line="278" w:lineRule="auto"/>
              <w:ind w:left="360" w:right="408"/>
              <w:rPr>
                <w:rFonts w:eastAsia="Arial" w:cstheme="minorHAnsi"/>
              </w:rPr>
            </w:pPr>
            <w:r w:rsidRPr="00A13AB6">
              <w:rPr>
                <w:rFonts w:eastAsia="Arial" w:cstheme="minorHAnsi"/>
              </w:rPr>
              <w:t>A technique that simulates immediate and sustained rate changes over the next twelve months, and the investment of maturity cash flows and repricing of both earning assets and interest-bearing liabilities. The results show the behavior of the bank's interest margin as rates move up and down.</w:t>
            </w:r>
          </w:p>
        </w:tc>
      </w:tr>
      <w:tr w:rsidR="002311BB" w:rsidRPr="00A13AB6" w14:paraId="346B2321" w14:textId="77777777" w:rsidTr="00BA3F2D">
        <w:trPr>
          <w:trHeight w:hRule="exact" w:val="711"/>
        </w:trPr>
        <w:tc>
          <w:tcPr>
            <w:tcW w:w="2547" w:type="dxa"/>
            <w:gridSpan w:val="2"/>
            <w:tcBorders>
              <w:top w:val="nil"/>
              <w:left w:val="nil"/>
              <w:bottom w:val="nil"/>
              <w:right w:val="nil"/>
            </w:tcBorders>
            <w:shd w:val="clear" w:color="auto" w:fill="E8E7E7"/>
          </w:tcPr>
          <w:p w14:paraId="63A0417E" w14:textId="77777777" w:rsidR="002311BB" w:rsidRPr="00A13AB6" w:rsidRDefault="002311BB" w:rsidP="00BA3F2D">
            <w:pPr>
              <w:spacing w:line="278" w:lineRule="auto"/>
              <w:ind w:left="360" w:right="360"/>
              <w:rPr>
                <w:rFonts w:eastAsia="Arial" w:cstheme="minorHAnsi"/>
              </w:rPr>
            </w:pPr>
            <w:r w:rsidRPr="00A13AB6">
              <w:rPr>
                <w:rFonts w:eastAsia="Arial" w:cstheme="minorHAnsi"/>
              </w:rPr>
              <w:t>Risk Cushion</w:t>
            </w:r>
          </w:p>
        </w:tc>
        <w:tc>
          <w:tcPr>
            <w:tcW w:w="8307" w:type="dxa"/>
            <w:tcBorders>
              <w:top w:val="nil"/>
              <w:left w:val="nil"/>
              <w:bottom w:val="nil"/>
              <w:right w:val="nil"/>
            </w:tcBorders>
            <w:shd w:val="clear" w:color="auto" w:fill="E8E7E7"/>
          </w:tcPr>
          <w:p w14:paraId="15FD607C" w14:textId="77777777" w:rsidR="002311BB" w:rsidRPr="00A13AB6" w:rsidRDefault="002311BB" w:rsidP="00BA3F2D">
            <w:pPr>
              <w:spacing w:line="278" w:lineRule="auto"/>
              <w:ind w:left="360" w:right="318"/>
              <w:rPr>
                <w:rFonts w:eastAsia="Arial" w:cstheme="minorHAnsi"/>
              </w:rPr>
            </w:pPr>
            <w:r w:rsidRPr="00A13AB6">
              <w:rPr>
                <w:rFonts w:eastAsia="Arial" w:cstheme="minorHAnsi"/>
              </w:rPr>
              <w:t>The difference between the risk adjusted margin for a 100bp rate change, or the risk adjusted capital for a 100bp rate change, and the current margin or capital.</w:t>
            </w:r>
          </w:p>
        </w:tc>
      </w:tr>
    </w:tbl>
    <w:p w14:paraId="62F0B213" w14:textId="77777777" w:rsidR="00F07B9A" w:rsidRDefault="00F07B9A" w:rsidP="00657831">
      <w:pPr>
        <w:spacing w:after="0" w:line="259" w:lineRule="auto"/>
        <w:rPr>
          <w:rFonts w:cstheme="minorHAnsi"/>
        </w:rPr>
      </w:pPr>
    </w:p>
    <w:bookmarkEnd w:id="1"/>
    <w:p w14:paraId="46EC723F" w14:textId="77777777" w:rsidR="00F07B9A" w:rsidRDefault="00F07B9A" w:rsidP="00657831">
      <w:pPr>
        <w:spacing w:after="0" w:line="259" w:lineRule="auto"/>
        <w:rPr>
          <w:rFonts w:cstheme="minorHAnsi"/>
        </w:rPr>
        <w:sectPr w:rsidR="00F07B9A" w:rsidSect="00E404A4">
          <w:headerReference w:type="default" r:id="rId9"/>
          <w:footerReference w:type="default" r:id="rId10"/>
          <w:pgSz w:w="12240" w:h="15840"/>
          <w:pgMar w:top="720" w:right="720" w:bottom="810" w:left="1350" w:header="465" w:footer="432" w:gutter="0"/>
          <w:cols w:space="720"/>
          <w:docGrid w:linePitch="299"/>
        </w:sectPr>
      </w:pPr>
    </w:p>
    <w:p w14:paraId="5FE3B190" w14:textId="64566F17" w:rsidR="00657831" w:rsidRPr="00F07B9A" w:rsidRDefault="00F07B9A" w:rsidP="00657831">
      <w:pPr>
        <w:spacing w:after="0" w:line="259" w:lineRule="auto"/>
        <w:rPr>
          <w:rFonts w:cstheme="minorHAnsi"/>
        </w:rPr>
      </w:pPr>
      <w:r w:rsidRPr="00F07B9A">
        <w:rPr>
          <w:rFonts w:cstheme="minorHAnsi"/>
        </w:rPr>
        <w:lastRenderedPageBreak/>
        <w:t>RiskGPS: FAQ – System-Wide Updates</w:t>
      </w:r>
    </w:p>
    <w:p w14:paraId="0E945AAD" w14:textId="77777777" w:rsidR="00F07B9A" w:rsidRPr="00F07B9A" w:rsidRDefault="00F07B9A" w:rsidP="00657831">
      <w:pPr>
        <w:spacing w:after="0" w:line="259" w:lineRule="auto"/>
        <w:rPr>
          <w:rFonts w:cstheme="minorHAnsi"/>
        </w:rPr>
      </w:pPr>
    </w:p>
    <w:p w14:paraId="0C125B34" w14:textId="77777777" w:rsidR="00F07B9A" w:rsidRPr="00F07B9A" w:rsidRDefault="00F07B9A" w:rsidP="00F07B9A">
      <w:pPr>
        <w:spacing w:after="0"/>
        <w:ind w:left="420" w:hanging="420"/>
        <w:rPr>
          <w:rFonts w:cstheme="minorHAnsi"/>
          <w:b/>
          <w:bCs/>
          <w:color w:val="414142"/>
        </w:rPr>
      </w:pPr>
      <w:r w:rsidRPr="00F07B9A">
        <w:rPr>
          <w:rFonts w:cstheme="minorHAnsi"/>
          <w:b/>
          <w:bCs/>
          <w:color w:val="414142"/>
        </w:rPr>
        <w:t>FAQ: What is a system-wide update?</w:t>
      </w:r>
    </w:p>
    <w:p w14:paraId="0DBDA84D" w14:textId="043A4C25" w:rsidR="00F07B9A" w:rsidRPr="00F07B9A" w:rsidRDefault="00F07B9A" w:rsidP="00F07B9A">
      <w:pPr>
        <w:spacing w:after="0"/>
        <w:ind w:right="270"/>
        <w:rPr>
          <w:rFonts w:cstheme="minorHAnsi"/>
          <w:color w:val="414142"/>
        </w:rPr>
      </w:pPr>
      <w:r w:rsidRPr="00F07B9A">
        <w:rPr>
          <w:rFonts w:cstheme="minorHAnsi"/>
          <w:color w:val="414142"/>
        </w:rPr>
        <w:t xml:space="preserve">About 5-7 business days after the filing deadline, we automatically import Call Report data for every bank </w:t>
      </w:r>
      <w:r>
        <w:rPr>
          <w:rFonts w:cstheme="minorHAnsi"/>
          <w:color w:val="414142"/>
        </w:rPr>
        <w:br/>
      </w:r>
      <w:r w:rsidRPr="00F07B9A">
        <w:rPr>
          <w:rFonts w:cstheme="minorHAnsi"/>
          <w:color w:val="414142"/>
        </w:rPr>
        <w:t xml:space="preserve">in the country. Once this import is complete, the new quarterly data is available by default and the previous quarter’s data becomes </w:t>
      </w:r>
      <w:r w:rsidR="008F16BA" w:rsidRPr="00F07B9A">
        <w:rPr>
          <w:rFonts w:cstheme="minorHAnsi"/>
          <w:color w:val="414142"/>
        </w:rPr>
        <w:t>historical</w:t>
      </w:r>
      <w:r w:rsidRPr="00F07B9A">
        <w:rPr>
          <w:rFonts w:cstheme="minorHAnsi"/>
          <w:color w:val="414142"/>
        </w:rPr>
        <w:t>.</w:t>
      </w:r>
    </w:p>
    <w:p w14:paraId="4E3FEAA2" w14:textId="77777777" w:rsidR="00F07B9A" w:rsidRPr="00F07B9A" w:rsidRDefault="00F07B9A" w:rsidP="00F07B9A">
      <w:pPr>
        <w:spacing w:after="0"/>
        <w:rPr>
          <w:rFonts w:cstheme="minorHAnsi"/>
          <w:color w:val="414142"/>
        </w:rPr>
      </w:pPr>
    </w:p>
    <w:p w14:paraId="3FEE58A1" w14:textId="77777777" w:rsidR="00F07B9A" w:rsidRPr="00F07B9A" w:rsidRDefault="00F07B9A" w:rsidP="00F07B9A">
      <w:pPr>
        <w:spacing w:after="0"/>
        <w:rPr>
          <w:rFonts w:cstheme="minorHAnsi"/>
          <w:b/>
          <w:bCs/>
          <w:color w:val="414142"/>
        </w:rPr>
      </w:pPr>
      <w:r w:rsidRPr="00F07B9A">
        <w:rPr>
          <w:rFonts w:cstheme="minorHAnsi"/>
          <w:b/>
          <w:bCs/>
          <w:color w:val="414142"/>
        </w:rPr>
        <w:t>FAQ: When do system-wide updates usually occur?</w:t>
      </w:r>
    </w:p>
    <w:p w14:paraId="2A2FA2C2" w14:textId="608CBE0D" w:rsidR="00F07B9A" w:rsidRPr="008F16BA" w:rsidRDefault="00F07B9A" w:rsidP="00F07B9A">
      <w:pPr>
        <w:spacing w:after="0"/>
        <w:rPr>
          <w:rFonts w:cstheme="minorHAnsi"/>
          <w:i/>
          <w:iCs/>
          <w:color w:val="414142"/>
        </w:rPr>
      </w:pPr>
      <w:r w:rsidRPr="008F16BA">
        <w:rPr>
          <w:rFonts w:cstheme="minorHAnsi"/>
          <w:i/>
          <w:iCs/>
          <w:color w:val="414142"/>
        </w:rPr>
        <w:t>System-wide updates generally occur 5-7 business days after the Call Report filing deadline.</w:t>
      </w:r>
    </w:p>
    <w:p w14:paraId="304EF23C" w14:textId="77777777" w:rsidR="00F07B9A" w:rsidRPr="008F16BA" w:rsidRDefault="00F07B9A" w:rsidP="00F07B9A">
      <w:pPr>
        <w:spacing w:after="0"/>
        <w:rPr>
          <w:rFonts w:cstheme="minorHAnsi"/>
          <w:i/>
          <w:iCs/>
          <w:color w:val="414142"/>
        </w:rPr>
      </w:pPr>
    </w:p>
    <w:p w14:paraId="0083A50D" w14:textId="77777777" w:rsidR="00F07B9A" w:rsidRPr="00F07B9A" w:rsidRDefault="00F07B9A" w:rsidP="00F07B9A">
      <w:pPr>
        <w:spacing w:after="0"/>
        <w:rPr>
          <w:rFonts w:cstheme="minorHAnsi"/>
          <w:b/>
          <w:bCs/>
          <w:color w:val="414142"/>
        </w:rPr>
      </w:pPr>
      <w:r w:rsidRPr="00F07B9A">
        <w:rPr>
          <w:rFonts w:cstheme="minorHAnsi"/>
          <w:b/>
          <w:bCs/>
          <w:color w:val="414142"/>
        </w:rPr>
        <w:t>FAQ: What if I need to run my reports before the system-wide update?</w:t>
      </w:r>
    </w:p>
    <w:p w14:paraId="700F90A6" w14:textId="0D3CB288" w:rsidR="00F07B9A" w:rsidRPr="00F07B9A" w:rsidRDefault="00F07B9A" w:rsidP="00F07B9A">
      <w:pPr>
        <w:spacing w:after="0"/>
        <w:ind w:right="110"/>
        <w:rPr>
          <w:rFonts w:cstheme="minorHAnsi"/>
          <w:color w:val="414142"/>
        </w:rPr>
      </w:pPr>
      <w:r w:rsidRPr="00F07B9A">
        <w:rPr>
          <w:rFonts w:cstheme="minorHAnsi"/>
          <w:color w:val="414142"/>
        </w:rPr>
        <w:t>Approximately 5-7 business days after the close of a quarter, you can easily upload your TRN file to BankersGPS.</w:t>
      </w:r>
    </w:p>
    <w:p w14:paraId="1E161235" w14:textId="1E7A02FB" w:rsidR="00F07B9A" w:rsidRPr="00F07B9A" w:rsidRDefault="00F07B9A" w:rsidP="00F07B9A">
      <w:pPr>
        <w:spacing w:after="0"/>
        <w:rPr>
          <w:rFonts w:cstheme="minorHAnsi"/>
          <w:color w:val="414142"/>
        </w:rPr>
      </w:pPr>
      <w:r w:rsidRPr="00F07B9A">
        <w:rPr>
          <w:rFonts w:cstheme="minorHAnsi"/>
          <w:color w:val="414142"/>
        </w:rPr>
        <w:t>You have 2 options for doing this using the “Data Update” menu item. First, click ‘Upload TRN’ from the dropdown menu. Then choose the method you prefer:</w:t>
      </w:r>
    </w:p>
    <w:p w14:paraId="46F332C3" w14:textId="208A4F3B" w:rsidR="00F07B9A" w:rsidRDefault="00F07B9A" w:rsidP="00F07B9A">
      <w:pPr>
        <w:pStyle w:val="ListParagraph"/>
        <w:numPr>
          <w:ilvl w:val="0"/>
          <w:numId w:val="38"/>
        </w:numPr>
        <w:spacing w:after="0"/>
        <w:ind w:right="555"/>
        <w:rPr>
          <w:rFonts w:cstheme="minorHAnsi"/>
          <w:color w:val="414142"/>
        </w:rPr>
      </w:pPr>
      <w:r w:rsidRPr="00F07B9A">
        <w:rPr>
          <w:rFonts w:cstheme="minorHAnsi"/>
          <w:color w:val="414142"/>
        </w:rPr>
        <w:t xml:space="preserve">To import your current quarter TRN file from the FDIC, click the </w:t>
      </w:r>
      <w:r w:rsidRPr="008F16BA">
        <w:rPr>
          <w:rFonts w:cstheme="minorHAnsi"/>
          <w:b/>
          <w:bCs/>
          <w:color w:val="414142"/>
        </w:rPr>
        <w:t>‘Load from FDIC’ button</w:t>
      </w:r>
      <w:r w:rsidRPr="00F07B9A">
        <w:rPr>
          <w:rFonts w:cstheme="minorHAnsi"/>
          <w:color w:val="414142"/>
        </w:rPr>
        <w:t xml:space="preserve">. Note: it generally takes about 24-hours after filing for your TRN to become available from the </w:t>
      </w:r>
      <w:r w:rsidR="008E6DE8">
        <w:rPr>
          <w:rFonts w:cstheme="minorHAnsi"/>
          <w:color w:val="414142"/>
        </w:rPr>
        <w:t>FFIEC.</w:t>
      </w:r>
    </w:p>
    <w:p w14:paraId="55A176C6" w14:textId="4196882E" w:rsidR="00F07B9A" w:rsidRPr="00F07B9A" w:rsidRDefault="00F07B9A" w:rsidP="00F07B9A">
      <w:pPr>
        <w:pStyle w:val="ListParagraph"/>
        <w:numPr>
          <w:ilvl w:val="0"/>
          <w:numId w:val="38"/>
        </w:numPr>
        <w:spacing w:after="0"/>
        <w:ind w:right="555"/>
        <w:rPr>
          <w:rFonts w:cstheme="minorHAnsi"/>
          <w:color w:val="414142"/>
        </w:rPr>
      </w:pPr>
      <w:r w:rsidRPr="00F07B9A">
        <w:rPr>
          <w:rFonts w:cstheme="minorHAnsi"/>
          <w:color w:val="414142"/>
        </w:rPr>
        <w:t xml:space="preserve">To upload your TRN file from a location on your PC or server, click </w:t>
      </w:r>
      <w:r w:rsidRPr="008F16BA">
        <w:rPr>
          <w:rFonts w:cstheme="minorHAnsi"/>
          <w:b/>
          <w:bCs/>
          <w:color w:val="414142"/>
        </w:rPr>
        <w:t>‘Choose File’</w:t>
      </w:r>
      <w:r w:rsidRPr="00F07B9A">
        <w:rPr>
          <w:rFonts w:cstheme="minorHAnsi"/>
          <w:color w:val="414142"/>
        </w:rPr>
        <w:t xml:space="preserve">, browse to the location on your PC or company server, then click </w:t>
      </w:r>
      <w:r w:rsidRPr="008F16BA">
        <w:rPr>
          <w:rFonts w:cstheme="minorHAnsi"/>
          <w:b/>
          <w:bCs/>
          <w:color w:val="414142"/>
        </w:rPr>
        <w:t>‘Upload’</w:t>
      </w:r>
      <w:r w:rsidRPr="00F07B9A">
        <w:rPr>
          <w:rFonts w:cstheme="minorHAnsi"/>
          <w:color w:val="414142"/>
        </w:rPr>
        <w:t>.</w:t>
      </w:r>
    </w:p>
    <w:p w14:paraId="7F9C8920" w14:textId="77777777" w:rsidR="00F07B9A" w:rsidRPr="00F07B9A" w:rsidRDefault="00F07B9A" w:rsidP="00F07B9A">
      <w:pPr>
        <w:spacing w:after="0"/>
        <w:ind w:left="1140" w:right="961" w:hanging="420"/>
        <w:rPr>
          <w:rFonts w:cstheme="minorHAnsi"/>
          <w:color w:val="414142"/>
        </w:rPr>
      </w:pPr>
    </w:p>
    <w:p w14:paraId="2E567F92" w14:textId="77777777" w:rsidR="00F07B9A" w:rsidRPr="00F07B9A" w:rsidRDefault="00F07B9A" w:rsidP="00F07B9A">
      <w:pPr>
        <w:spacing w:after="0"/>
        <w:rPr>
          <w:rFonts w:cstheme="minorHAnsi"/>
          <w:b/>
          <w:bCs/>
          <w:color w:val="414142"/>
        </w:rPr>
      </w:pPr>
      <w:r w:rsidRPr="00F07B9A">
        <w:rPr>
          <w:rFonts w:cstheme="minorHAnsi"/>
          <w:b/>
          <w:bCs/>
          <w:color w:val="414142"/>
        </w:rPr>
        <w:t>FAQ: What if we file an amended Call Report?</w:t>
      </w:r>
    </w:p>
    <w:p w14:paraId="2538236E" w14:textId="688F7A9F" w:rsidR="00F07B9A" w:rsidRPr="00F07B9A" w:rsidRDefault="00F07B9A" w:rsidP="00F07B9A">
      <w:pPr>
        <w:spacing w:after="0"/>
        <w:ind w:right="985"/>
        <w:rPr>
          <w:rFonts w:cstheme="minorHAnsi"/>
          <w:color w:val="414142"/>
        </w:rPr>
      </w:pPr>
      <w:r w:rsidRPr="00F07B9A">
        <w:rPr>
          <w:rFonts w:cstheme="minorHAnsi"/>
          <w:color w:val="414142"/>
        </w:rPr>
        <w:t>While uncommon, some clients file an amended Call Report after they have uploaded their TRN file to RiskGPS but before the system-wide update occurs.</w:t>
      </w:r>
      <w:r>
        <w:rPr>
          <w:rFonts w:cstheme="minorHAnsi"/>
          <w:color w:val="414142"/>
        </w:rPr>
        <w:t xml:space="preserve"> </w:t>
      </w:r>
      <w:r w:rsidRPr="00F07B9A">
        <w:rPr>
          <w:rFonts w:cstheme="minorHAnsi"/>
          <w:color w:val="414142"/>
        </w:rPr>
        <w:t>If this is the case for you, click the ‘</w:t>
      </w:r>
      <w:r w:rsidRPr="008E6DE8">
        <w:rPr>
          <w:rFonts w:cstheme="minorHAnsi"/>
          <w:b/>
          <w:bCs/>
          <w:color w:val="414142"/>
        </w:rPr>
        <w:t>Data Update</w:t>
      </w:r>
      <w:r w:rsidRPr="00F07B9A">
        <w:rPr>
          <w:rFonts w:cstheme="minorHAnsi"/>
          <w:color w:val="414142"/>
        </w:rPr>
        <w:t>’ item in the main menu, then select ‘</w:t>
      </w:r>
      <w:r w:rsidRPr="008E6DE8">
        <w:rPr>
          <w:rFonts w:cstheme="minorHAnsi"/>
          <w:b/>
          <w:bCs/>
          <w:color w:val="414142"/>
        </w:rPr>
        <w:t>Reload</w:t>
      </w:r>
      <w:r w:rsidRPr="00F07B9A">
        <w:rPr>
          <w:rFonts w:cstheme="minorHAnsi"/>
          <w:color w:val="414142"/>
        </w:rPr>
        <w:t>’ from the dropdown menu.</w:t>
      </w:r>
    </w:p>
    <w:p w14:paraId="105BB4F9" w14:textId="77777777" w:rsidR="00F07B9A" w:rsidRPr="00F07B9A" w:rsidRDefault="00F07B9A" w:rsidP="00F07B9A">
      <w:pPr>
        <w:spacing w:after="0"/>
        <w:rPr>
          <w:rFonts w:cstheme="minorHAnsi"/>
          <w:color w:val="414142"/>
        </w:rPr>
      </w:pPr>
    </w:p>
    <w:p w14:paraId="75B3F4D2" w14:textId="77777777" w:rsidR="00F07B9A" w:rsidRPr="00F07B9A" w:rsidRDefault="00F07B9A" w:rsidP="00F07B9A">
      <w:pPr>
        <w:spacing w:after="0"/>
        <w:rPr>
          <w:rFonts w:cstheme="minorHAnsi"/>
          <w:b/>
          <w:bCs/>
          <w:color w:val="414142"/>
        </w:rPr>
      </w:pPr>
      <w:r w:rsidRPr="00F07B9A">
        <w:rPr>
          <w:rFonts w:cstheme="minorHAnsi"/>
          <w:b/>
          <w:bCs/>
          <w:color w:val="414142"/>
        </w:rPr>
        <w:t>FAQ: What does Rollback mean?</w:t>
      </w:r>
    </w:p>
    <w:p w14:paraId="564A2276" w14:textId="64B6032D" w:rsidR="00F07B9A" w:rsidRPr="00F07B9A" w:rsidRDefault="00F07B9A" w:rsidP="00F07B9A">
      <w:pPr>
        <w:spacing w:after="0"/>
        <w:ind w:right="624"/>
        <w:rPr>
          <w:rFonts w:cstheme="minorHAnsi"/>
          <w:color w:val="414142"/>
        </w:rPr>
      </w:pPr>
      <w:r w:rsidRPr="00F07B9A">
        <w:rPr>
          <w:rFonts w:cstheme="minorHAnsi"/>
          <w:color w:val="414142"/>
        </w:rPr>
        <w:t>The “</w:t>
      </w:r>
      <w:r w:rsidRPr="008E6DE8">
        <w:rPr>
          <w:rFonts w:cstheme="minorHAnsi"/>
          <w:b/>
          <w:bCs/>
          <w:color w:val="414142"/>
        </w:rPr>
        <w:t>Rollback</w:t>
      </w:r>
      <w:r w:rsidRPr="00F07B9A">
        <w:rPr>
          <w:rFonts w:cstheme="minorHAnsi"/>
          <w:color w:val="414142"/>
        </w:rPr>
        <w:t>” option in the Data Update menu is intended for users who have uploaded their current quarter TRN but need to revert to the previous (default) quarter after doing so. Once the system-wide update takes place, this option is unavailable until the next TRN upload period.</w:t>
      </w:r>
    </w:p>
    <w:p w14:paraId="42419B85" w14:textId="77777777" w:rsidR="00F07B9A" w:rsidRPr="00F07B9A" w:rsidRDefault="00F07B9A" w:rsidP="00F07B9A">
      <w:pPr>
        <w:spacing w:after="0"/>
        <w:ind w:left="450" w:right="624" w:hanging="420"/>
        <w:rPr>
          <w:rFonts w:cstheme="minorHAnsi"/>
          <w:color w:val="414142"/>
        </w:rPr>
      </w:pPr>
    </w:p>
    <w:p w14:paraId="7518DAC3" w14:textId="3F89421C" w:rsidR="00F07B9A" w:rsidRPr="00F07B9A" w:rsidRDefault="00F07B9A" w:rsidP="00F07B9A">
      <w:pPr>
        <w:spacing w:after="0"/>
        <w:rPr>
          <w:rFonts w:cstheme="minorHAnsi"/>
          <w:b/>
          <w:bCs/>
          <w:color w:val="414142"/>
        </w:rPr>
      </w:pPr>
      <w:r w:rsidRPr="00F07B9A">
        <w:rPr>
          <w:rFonts w:cstheme="minorHAnsi"/>
          <w:b/>
          <w:bCs/>
          <w:color w:val="414142"/>
        </w:rPr>
        <w:t>FAQ: Can I run the previous quarter’s report in BankersGPS?</w:t>
      </w:r>
    </w:p>
    <w:p w14:paraId="558D5922" w14:textId="1504157A" w:rsidR="00F07B9A" w:rsidRDefault="00F07B9A" w:rsidP="00F07B9A">
      <w:pPr>
        <w:spacing w:after="0"/>
        <w:rPr>
          <w:rFonts w:cstheme="minorHAnsi"/>
          <w:i/>
          <w:iCs/>
          <w:color w:val="414142"/>
        </w:rPr>
      </w:pPr>
      <w:r w:rsidRPr="008E6DE8">
        <w:rPr>
          <w:rFonts w:cstheme="minorHAnsi"/>
          <w:i/>
          <w:iCs/>
          <w:color w:val="414142"/>
        </w:rPr>
        <w:t>Past reports are not archived within BankersGPS.</w:t>
      </w:r>
      <w:r w:rsidRPr="00F07B9A">
        <w:rPr>
          <w:rFonts w:cstheme="minorHAnsi"/>
          <w:color w:val="414142"/>
        </w:rPr>
        <w:t xml:space="preserve"> </w:t>
      </w:r>
      <w:r w:rsidRPr="008E6DE8">
        <w:rPr>
          <w:rFonts w:cstheme="minorHAnsi"/>
          <w:i/>
          <w:iCs/>
          <w:color w:val="414142"/>
        </w:rPr>
        <w:t xml:space="preserve">We strongly recommend that you keep a .pdf copy of </w:t>
      </w:r>
      <w:r w:rsidRPr="008E6DE8">
        <w:rPr>
          <w:rFonts w:cstheme="minorHAnsi"/>
          <w:i/>
          <w:iCs/>
          <w:color w:val="414142"/>
        </w:rPr>
        <w:br/>
        <w:t>all quarterly reports on your PC or company server, so you</w:t>
      </w:r>
      <w:r w:rsidR="008E6DE8">
        <w:rPr>
          <w:rFonts w:cstheme="minorHAnsi"/>
          <w:i/>
          <w:iCs/>
          <w:color w:val="414142"/>
        </w:rPr>
        <w:t xml:space="preserve"> always</w:t>
      </w:r>
      <w:r w:rsidRPr="008E6DE8">
        <w:rPr>
          <w:rFonts w:cstheme="minorHAnsi"/>
          <w:i/>
          <w:iCs/>
          <w:color w:val="414142"/>
        </w:rPr>
        <w:t xml:space="preserve"> have a backup.</w:t>
      </w:r>
    </w:p>
    <w:p w14:paraId="06385D9D" w14:textId="3B6BF307" w:rsidR="00B52ADB" w:rsidRDefault="00B52ADB">
      <w:pPr>
        <w:rPr>
          <w:rFonts w:cstheme="minorHAnsi"/>
          <w:i/>
          <w:iCs/>
          <w:color w:val="414142"/>
        </w:rPr>
      </w:pPr>
      <w:r>
        <w:rPr>
          <w:rFonts w:cstheme="minorHAnsi"/>
          <w:i/>
          <w:iCs/>
          <w:color w:val="414142"/>
        </w:rPr>
        <w:br w:type="page"/>
      </w:r>
    </w:p>
    <w:tbl>
      <w:tblPr>
        <w:tblW w:w="5000" w:type="pct"/>
        <w:shd w:val="clear" w:color="auto" w:fill="FFFFFF"/>
        <w:tblCellMar>
          <w:left w:w="0" w:type="dxa"/>
          <w:right w:w="0" w:type="dxa"/>
        </w:tblCellMar>
        <w:tblLook w:val="04A0" w:firstRow="1" w:lastRow="0" w:firstColumn="1" w:lastColumn="0" w:noHBand="0" w:noVBand="1"/>
      </w:tblPr>
      <w:tblGrid>
        <w:gridCol w:w="10170"/>
      </w:tblGrid>
      <w:tr w:rsidR="003A4BA4" w:rsidRPr="00830C39" w14:paraId="40332395" w14:textId="77777777" w:rsidTr="003653A4">
        <w:tc>
          <w:tcPr>
            <w:tcW w:w="0" w:type="auto"/>
            <w:shd w:val="clear" w:color="auto" w:fill="FFFFFF"/>
            <w:tcMar>
              <w:top w:w="150" w:type="dxa"/>
              <w:left w:w="300" w:type="dxa"/>
              <w:bottom w:w="0" w:type="dxa"/>
              <w:right w:w="300" w:type="dxa"/>
            </w:tcMar>
            <w:vAlign w:val="center"/>
            <w:hideMark/>
          </w:tcPr>
          <w:p w14:paraId="47D12FD5" w14:textId="77777777" w:rsidR="003A4BA4" w:rsidRPr="00F41D3C" w:rsidRDefault="003A4BA4" w:rsidP="003653A4">
            <w:pPr>
              <w:spacing w:after="0" w:line="281" w:lineRule="atLeast"/>
              <w:rPr>
                <w:rFonts w:ascii="Arial" w:eastAsia="Times New Roman" w:hAnsi="Arial" w:cs="Arial"/>
                <w:b/>
                <w:bCs/>
                <w:color w:val="444444"/>
                <w:sz w:val="12"/>
                <w:szCs w:val="12"/>
              </w:rPr>
            </w:pPr>
            <w:r w:rsidRPr="00F41D3C">
              <w:rPr>
                <w:rFonts w:ascii="Arial" w:eastAsia="Times New Roman" w:hAnsi="Arial" w:cs="Arial"/>
                <w:b/>
                <w:bCs/>
                <w:color w:val="444444"/>
                <w:sz w:val="23"/>
                <w:szCs w:val="23"/>
              </w:rPr>
              <w:lastRenderedPageBreak/>
              <w:t>What is the difference between average and weighted average in the RiskGPS Loan Assumptions?</w:t>
            </w:r>
          </w:p>
          <w:p w14:paraId="3F24D944" w14:textId="77777777" w:rsidR="003A4BA4" w:rsidRDefault="003A4BA4" w:rsidP="003653A4">
            <w:pPr>
              <w:spacing w:after="0" w:line="281" w:lineRule="atLeast"/>
              <w:rPr>
                <w:rFonts w:ascii="Arial" w:eastAsia="Times New Roman" w:hAnsi="Arial" w:cs="Arial"/>
                <w:color w:val="444444"/>
                <w:sz w:val="23"/>
                <w:szCs w:val="23"/>
              </w:rPr>
            </w:pPr>
          </w:p>
          <w:p w14:paraId="03AFEC36" w14:textId="77777777" w:rsidR="003A4BA4" w:rsidRPr="00830C39" w:rsidRDefault="003A4BA4" w:rsidP="003653A4">
            <w:pPr>
              <w:spacing w:after="0" w:line="281" w:lineRule="atLeast"/>
              <w:rPr>
                <w:rFonts w:ascii="Arial" w:eastAsia="Times New Roman" w:hAnsi="Arial" w:cs="Arial"/>
                <w:color w:val="444444"/>
                <w:sz w:val="23"/>
                <w:szCs w:val="23"/>
              </w:rPr>
            </w:pPr>
            <w:r w:rsidRPr="00830C39">
              <w:rPr>
                <w:rFonts w:ascii="Arial" w:eastAsia="Times New Roman" w:hAnsi="Arial" w:cs="Arial"/>
                <w:color w:val="444444"/>
                <w:sz w:val="23"/>
                <w:szCs w:val="23"/>
              </w:rPr>
              <w:t>There is a distinction and mathematical difference between a </w:t>
            </w:r>
            <w:r w:rsidRPr="00830C39">
              <w:rPr>
                <w:rFonts w:ascii="Arial" w:eastAsia="Times New Roman" w:hAnsi="Arial" w:cs="Arial"/>
                <w:color w:val="444444"/>
                <w:sz w:val="23"/>
                <w:szCs w:val="23"/>
                <w:u w:val="single"/>
              </w:rPr>
              <w:t>simple average</w:t>
            </w:r>
            <w:r w:rsidRPr="00830C39">
              <w:rPr>
                <w:rFonts w:ascii="Arial" w:eastAsia="Times New Roman" w:hAnsi="Arial" w:cs="Arial"/>
                <w:color w:val="444444"/>
                <w:sz w:val="23"/>
                <w:szCs w:val="23"/>
              </w:rPr>
              <w:t> and a </w:t>
            </w:r>
            <w:r w:rsidRPr="00830C39">
              <w:rPr>
                <w:rFonts w:ascii="Arial" w:eastAsia="Times New Roman" w:hAnsi="Arial" w:cs="Arial"/>
                <w:color w:val="444444"/>
                <w:sz w:val="23"/>
                <w:szCs w:val="23"/>
                <w:u w:val="single"/>
              </w:rPr>
              <w:t>weighted average</w:t>
            </w:r>
            <w:r w:rsidRPr="00830C39">
              <w:rPr>
                <w:rFonts w:ascii="Arial" w:eastAsia="Times New Roman" w:hAnsi="Arial" w:cs="Arial"/>
                <w:color w:val="444444"/>
                <w:sz w:val="23"/>
                <w:szCs w:val="23"/>
              </w:rPr>
              <w:t>, and they have very different results.</w:t>
            </w:r>
          </w:p>
          <w:p w14:paraId="0F057351" w14:textId="177252AF" w:rsidR="003A4BA4" w:rsidRPr="00830C39" w:rsidRDefault="003A4BA4" w:rsidP="003653A4">
            <w:pPr>
              <w:spacing w:after="0" w:line="281" w:lineRule="atLeast"/>
              <w:rPr>
                <w:rFonts w:ascii="Arial" w:eastAsia="Times New Roman" w:hAnsi="Arial" w:cs="Arial"/>
                <w:color w:val="444444"/>
                <w:sz w:val="23"/>
                <w:szCs w:val="23"/>
              </w:rPr>
            </w:pPr>
            <w:r w:rsidRPr="00830C39">
              <w:rPr>
                <w:rFonts w:ascii="Arial" w:eastAsia="Times New Roman" w:hAnsi="Arial" w:cs="Arial"/>
                <w:color w:val="444444"/>
                <w:sz w:val="23"/>
                <w:szCs w:val="23"/>
              </w:rPr>
              <w:t> </w:t>
            </w:r>
          </w:p>
          <w:p w14:paraId="5F259788" w14:textId="77777777" w:rsidR="003A4BA4" w:rsidRPr="00830C39" w:rsidRDefault="003A4BA4" w:rsidP="003653A4">
            <w:pPr>
              <w:spacing w:after="0" w:line="394" w:lineRule="atLeast"/>
              <w:rPr>
                <w:rFonts w:ascii="Arial" w:eastAsia="Times New Roman" w:hAnsi="Arial" w:cs="Arial"/>
                <w:color w:val="444444"/>
                <w:sz w:val="23"/>
                <w:szCs w:val="23"/>
              </w:rPr>
            </w:pPr>
            <w:r w:rsidRPr="00830C39">
              <w:rPr>
                <w:rFonts w:ascii="Arial" w:eastAsia="Times New Roman" w:hAnsi="Arial" w:cs="Arial"/>
                <w:color w:val="444444"/>
                <w:sz w:val="23"/>
                <w:szCs w:val="23"/>
              </w:rPr>
              <w:t xml:space="preserve">Here is an example </w:t>
            </w:r>
            <w:r>
              <w:rPr>
                <w:rFonts w:ascii="Arial" w:eastAsia="Times New Roman" w:hAnsi="Arial" w:cs="Arial"/>
                <w:color w:val="444444"/>
                <w:sz w:val="23"/>
                <w:szCs w:val="23"/>
              </w:rPr>
              <w:t>h</w:t>
            </w:r>
            <w:r w:rsidRPr="00830C39">
              <w:rPr>
                <w:rFonts w:ascii="Arial" w:eastAsia="Times New Roman" w:hAnsi="Arial" w:cs="Arial"/>
                <w:color w:val="444444"/>
                <w:sz w:val="23"/>
                <w:szCs w:val="23"/>
              </w:rPr>
              <w:t>ighlight</w:t>
            </w:r>
            <w:r>
              <w:rPr>
                <w:rFonts w:ascii="Arial" w:eastAsia="Times New Roman" w:hAnsi="Arial" w:cs="Arial"/>
                <w:color w:val="444444"/>
                <w:sz w:val="23"/>
                <w:szCs w:val="23"/>
              </w:rPr>
              <w:t>ing</w:t>
            </w:r>
            <w:r w:rsidRPr="00830C39">
              <w:rPr>
                <w:rFonts w:ascii="Arial" w:eastAsia="Times New Roman" w:hAnsi="Arial" w:cs="Arial"/>
                <w:color w:val="444444"/>
                <w:sz w:val="23"/>
                <w:szCs w:val="23"/>
              </w:rPr>
              <w:t xml:space="preserve"> the</w:t>
            </w:r>
            <w:r>
              <w:rPr>
                <w:rFonts w:ascii="Arial" w:eastAsia="Times New Roman" w:hAnsi="Arial" w:cs="Arial"/>
                <w:color w:val="444444"/>
                <w:sz w:val="23"/>
                <w:szCs w:val="23"/>
              </w:rPr>
              <w:t xml:space="preserve"> outcome</w:t>
            </w:r>
            <w:r w:rsidRPr="00830C39">
              <w:rPr>
                <w:rFonts w:ascii="Arial" w:eastAsia="Times New Roman" w:hAnsi="Arial" w:cs="Arial"/>
                <w:color w:val="444444"/>
                <w:sz w:val="23"/>
                <w:szCs w:val="23"/>
              </w:rPr>
              <w:t xml:space="preserve"> difference </w:t>
            </w:r>
            <w:r>
              <w:rPr>
                <w:rFonts w:ascii="Arial" w:eastAsia="Times New Roman" w:hAnsi="Arial" w:cs="Arial"/>
                <w:color w:val="444444"/>
                <w:sz w:val="23"/>
                <w:szCs w:val="23"/>
              </w:rPr>
              <w:t>when using</w:t>
            </w:r>
            <w:r w:rsidRPr="00830C39">
              <w:rPr>
                <w:rFonts w:ascii="Arial" w:eastAsia="Times New Roman" w:hAnsi="Arial" w:cs="Arial"/>
                <w:color w:val="444444"/>
                <w:sz w:val="23"/>
                <w:szCs w:val="23"/>
              </w:rPr>
              <w:t xml:space="preserve"> the two methods:</w:t>
            </w:r>
          </w:p>
        </w:tc>
      </w:tr>
    </w:tbl>
    <w:p w14:paraId="04E8E98B" w14:textId="77777777" w:rsidR="003A4BA4" w:rsidRPr="00830C39" w:rsidRDefault="003A4BA4" w:rsidP="003A4BA4">
      <w:pPr>
        <w:shd w:val="clear" w:color="auto" w:fill="FFFFFF"/>
        <w:spacing w:after="0" w:line="240" w:lineRule="auto"/>
        <w:rPr>
          <w:rFonts w:ascii="Arial" w:eastAsia="Times New Roman" w:hAnsi="Arial" w:cs="Arial"/>
          <w:vanish/>
          <w:sz w:val="24"/>
          <w:szCs w:val="24"/>
        </w:rPr>
      </w:pPr>
    </w:p>
    <w:tbl>
      <w:tblPr>
        <w:tblW w:w="5485" w:type="pct"/>
        <w:tblInd w:w="-812" w:type="dxa"/>
        <w:tblCellMar>
          <w:left w:w="0" w:type="dxa"/>
          <w:right w:w="0" w:type="dxa"/>
        </w:tblCellMar>
        <w:tblLook w:val="04A0" w:firstRow="1" w:lastRow="0" w:firstColumn="1" w:lastColumn="0" w:noHBand="0" w:noVBand="1"/>
      </w:tblPr>
      <w:tblGrid>
        <w:gridCol w:w="11149"/>
        <w:gridCol w:w="7"/>
      </w:tblGrid>
      <w:tr w:rsidR="003A4BA4" w:rsidRPr="00830C39" w14:paraId="2416013B" w14:textId="77777777" w:rsidTr="003653A4">
        <w:tc>
          <w:tcPr>
            <w:tcW w:w="4997" w:type="pct"/>
            <w:tcMar>
              <w:top w:w="150" w:type="dxa"/>
              <w:left w:w="300" w:type="dxa"/>
              <w:bottom w:w="150" w:type="dxa"/>
              <w:right w:w="300" w:type="dxa"/>
            </w:tcMar>
            <w:hideMark/>
          </w:tcPr>
          <w:tbl>
            <w:tblPr>
              <w:tblStyle w:val="TableGrid"/>
              <w:tblpPr w:leftFromText="180" w:rightFromText="180" w:vertAnchor="text" w:horzAnchor="margin" w:tblpX="620" w:tblpY="-186"/>
              <w:tblOverlap w:val="never"/>
              <w:tblW w:w="0" w:type="auto"/>
              <w:tblLook w:val="04A0" w:firstRow="1" w:lastRow="0" w:firstColumn="1" w:lastColumn="0" w:noHBand="0" w:noVBand="1"/>
            </w:tblPr>
            <w:tblGrid>
              <w:gridCol w:w="1075"/>
              <w:gridCol w:w="940"/>
              <w:gridCol w:w="1670"/>
              <w:gridCol w:w="25"/>
            </w:tblGrid>
            <w:tr w:rsidR="003A4BA4" w:rsidRPr="003B5160" w14:paraId="158AA6ED" w14:textId="77777777" w:rsidTr="003653A4">
              <w:tc>
                <w:tcPr>
                  <w:tcW w:w="3710" w:type="dxa"/>
                  <w:gridSpan w:val="4"/>
                </w:tcPr>
                <w:p w14:paraId="765427E0" w14:textId="77777777" w:rsidR="003A4BA4" w:rsidRPr="00CA62C3" w:rsidRDefault="003A4BA4" w:rsidP="003653A4">
                  <w:pPr>
                    <w:spacing w:line="281" w:lineRule="atLeast"/>
                    <w:jc w:val="center"/>
                    <w:rPr>
                      <w:rFonts w:ascii="Arial" w:eastAsia="Times New Roman" w:hAnsi="Arial" w:cs="Arial"/>
                      <w:color w:val="444444"/>
                      <w:sz w:val="18"/>
                      <w:szCs w:val="18"/>
                    </w:rPr>
                  </w:pPr>
                  <w:r w:rsidRPr="00EC3ED1">
                    <w:rPr>
                      <w:rFonts w:ascii="Arial" w:eastAsia="Times New Roman" w:hAnsi="Arial" w:cs="Arial"/>
                      <w:b/>
                      <w:bCs/>
                      <w:color w:val="444444"/>
                      <w:sz w:val="18"/>
                      <w:szCs w:val="18"/>
                    </w:rPr>
                    <w:t xml:space="preserve">Example: Average Yield on </w:t>
                  </w:r>
                  <w:r w:rsidRPr="00EC3ED1">
                    <w:rPr>
                      <w:rFonts w:ascii="Arial" w:eastAsia="Times New Roman" w:hAnsi="Arial" w:cs="Arial"/>
                      <w:b/>
                      <w:bCs/>
                      <w:color w:val="444444"/>
                      <w:sz w:val="18"/>
                      <w:szCs w:val="18"/>
                    </w:rPr>
                    <w:br/>
                    <w:t>Floating Loans Above Floor</w:t>
                  </w:r>
                </w:p>
              </w:tc>
            </w:tr>
            <w:tr w:rsidR="003A4BA4" w:rsidRPr="003B5160" w14:paraId="4FFD654B" w14:textId="77777777" w:rsidTr="003653A4">
              <w:trPr>
                <w:gridAfter w:val="1"/>
                <w:wAfter w:w="25" w:type="dxa"/>
              </w:trPr>
              <w:tc>
                <w:tcPr>
                  <w:tcW w:w="1075" w:type="dxa"/>
                </w:tcPr>
                <w:p w14:paraId="033290F7" w14:textId="77777777" w:rsidR="003A4BA4" w:rsidRPr="00CA62C3" w:rsidRDefault="003A4BA4" w:rsidP="003653A4">
                  <w:pPr>
                    <w:spacing w:line="281" w:lineRule="atLeast"/>
                    <w:rPr>
                      <w:rFonts w:ascii="Arial" w:eastAsia="Times New Roman" w:hAnsi="Arial" w:cs="Arial"/>
                      <w:color w:val="444444"/>
                      <w:sz w:val="18"/>
                      <w:szCs w:val="18"/>
                    </w:rPr>
                  </w:pPr>
                </w:p>
              </w:tc>
              <w:tc>
                <w:tcPr>
                  <w:tcW w:w="940" w:type="dxa"/>
                </w:tcPr>
                <w:p w14:paraId="45F0166B" w14:textId="77777777" w:rsidR="003A4BA4" w:rsidRPr="00CA62C3" w:rsidRDefault="003A4BA4" w:rsidP="003653A4">
                  <w:pPr>
                    <w:spacing w:line="281" w:lineRule="atLeast"/>
                    <w:rPr>
                      <w:rFonts w:ascii="Arial" w:eastAsia="Times New Roman" w:hAnsi="Arial" w:cs="Arial"/>
                      <w:color w:val="444444"/>
                      <w:sz w:val="18"/>
                      <w:szCs w:val="18"/>
                    </w:rPr>
                  </w:pPr>
                  <w:r w:rsidRPr="00CA62C3">
                    <w:rPr>
                      <w:rFonts w:ascii="Arial" w:eastAsia="Times New Roman" w:hAnsi="Arial" w:cs="Arial"/>
                      <w:color w:val="444444"/>
                      <w:sz w:val="18"/>
                      <w:szCs w:val="18"/>
                    </w:rPr>
                    <w:t>Avg Bal</w:t>
                  </w:r>
                </w:p>
              </w:tc>
              <w:tc>
                <w:tcPr>
                  <w:tcW w:w="1670" w:type="dxa"/>
                </w:tcPr>
                <w:p w14:paraId="2698D3AD" w14:textId="77777777" w:rsidR="003A4BA4" w:rsidRPr="00CA62C3" w:rsidRDefault="003A4BA4" w:rsidP="003653A4">
                  <w:pPr>
                    <w:spacing w:line="281" w:lineRule="atLeast"/>
                    <w:rPr>
                      <w:rFonts w:ascii="Arial" w:eastAsia="Times New Roman" w:hAnsi="Arial" w:cs="Arial"/>
                      <w:color w:val="444444"/>
                      <w:sz w:val="18"/>
                      <w:szCs w:val="18"/>
                    </w:rPr>
                  </w:pPr>
                  <w:r w:rsidRPr="00CA62C3">
                    <w:rPr>
                      <w:rFonts w:ascii="Arial" w:eastAsia="Times New Roman" w:hAnsi="Arial" w:cs="Arial"/>
                      <w:color w:val="444444"/>
                      <w:sz w:val="18"/>
                      <w:szCs w:val="18"/>
                    </w:rPr>
                    <w:t>Int Rate (Yield)</w:t>
                  </w:r>
                </w:p>
              </w:tc>
            </w:tr>
            <w:tr w:rsidR="003A4BA4" w:rsidRPr="003B5160" w14:paraId="0CFE7210" w14:textId="77777777" w:rsidTr="003653A4">
              <w:trPr>
                <w:gridAfter w:val="1"/>
                <w:wAfter w:w="25" w:type="dxa"/>
              </w:trPr>
              <w:tc>
                <w:tcPr>
                  <w:tcW w:w="1075" w:type="dxa"/>
                </w:tcPr>
                <w:p w14:paraId="4723D918" w14:textId="77777777" w:rsidR="003A4BA4" w:rsidRPr="00CA62C3" w:rsidRDefault="003A4BA4" w:rsidP="003653A4">
                  <w:pPr>
                    <w:spacing w:line="281" w:lineRule="atLeast"/>
                    <w:rPr>
                      <w:rFonts w:ascii="Arial" w:eastAsia="Times New Roman" w:hAnsi="Arial" w:cs="Arial"/>
                      <w:color w:val="444444"/>
                      <w:sz w:val="18"/>
                      <w:szCs w:val="18"/>
                    </w:rPr>
                  </w:pPr>
                  <w:r w:rsidRPr="00CA62C3">
                    <w:rPr>
                      <w:rFonts w:ascii="Arial" w:eastAsia="Times New Roman" w:hAnsi="Arial" w:cs="Arial"/>
                      <w:color w:val="444444"/>
                      <w:sz w:val="18"/>
                      <w:szCs w:val="18"/>
                    </w:rPr>
                    <w:t>Loan A</w:t>
                  </w:r>
                </w:p>
              </w:tc>
              <w:tc>
                <w:tcPr>
                  <w:tcW w:w="940" w:type="dxa"/>
                </w:tcPr>
                <w:p w14:paraId="454C484F" w14:textId="77777777" w:rsidR="003A4BA4" w:rsidRPr="00CA62C3" w:rsidRDefault="003A4BA4" w:rsidP="003653A4">
                  <w:pPr>
                    <w:spacing w:line="281" w:lineRule="atLeast"/>
                    <w:jc w:val="right"/>
                    <w:rPr>
                      <w:rFonts w:ascii="Arial" w:eastAsia="Times New Roman" w:hAnsi="Arial" w:cs="Arial"/>
                      <w:color w:val="444444"/>
                      <w:sz w:val="18"/>
                      <w:szCs w:val="18"/>
                    </w:rPr>
                  </w:pPr>
                  <w:r w:rsidRPr="00CA62C3">
                    <w:rPr>
                      <w:rFonts w:ascii="Arial" w:eastAsia="Times New Roman" w:hAnsi="Arial" w:cs="Arial"/>
                      <w:color w:val="444444"/>
                      <w:sz w:val="18"/>
                      <w:szCs w:val="18"/>
                    </w:rPr>
                    <w:t>100,000</w:t>
                  </w:r>
                </w:p>
              </w:tc>
              <w:tc>
                <w:tcPr>
                  <w:tcW w:w="1670" w:type="dxa"/>
                </w:tcPr>
                <w:p w14:paraId="1A7EC955" w14:textId="77777777" w:rsidR="003A4BA4" w:rsidRPr="00CA62C3" w:rsidRDefault="003A4BA4" w:rsidP="003653A4">
                  <w:pPr>
                    <w:spacing w:line="281" w:lineRule="atLeast"/>
                    <w:jc w:val="right"/>
                    <w:rPr>
                      <w:rFonts w:ascii="Arial" w:eastAsia="Times New Roman" w:hAnsi="Arial" w:cs="Arial"/>
                      <w:color w:val="444444"/>
                      <w:sz w:val="18"/>
                      <w:szCs w:val="18"/>
                    </w:rPr>
                  </w:pPr>
                  <w:r w:rsidRPr="00CA62C3">
                    <w:rPr>
                      <w:rFonts w:ascii="Arial" w:eastAsia="Times New Roman" w:hAnsi="Arial" w:cs="Arial"/>
                      <w:color w:val="444444"/>
                      <w:sz w:val="18"/>
                      <w:szCs w:val="18"/>
                    </w:rPr>
                    <w:t>6.00%</w:t>
                  </w:r>
                </w:p>
              </w:tc>
            </w:tr>
            <w:tr w:rsidR="003A4BA4" w:rsidRPr="003B5160" w14:paraId="5A84B6C1" w14:textId="77777777" w:rsidTr="003653A4">
              <w:trPr>
                <w:gridAfter w:val="1"/>
                <w:wAfter w:w="25" w:type="dxa"/>
              </w:trPr>
              <w:tc>
                <w:tcPr>
                  <w:tcW w:w="1075" w:type="dxa"/>
                </w:tcPr>
                <w:p w14:paraId="186A7B6C" w14:textId="77777777" w:rsidR="003A4BA4" w:rsidRPr="00CA62C3" w:rsidRDefault="003A4BA4" w:rsidP="003653A4">
                  <w:pPr>
                    <w:spacing w:line="281" w:lineRule="atLeast"/>
                    <w:rPr>
                      <w:rFonts w:ascii="Arial" w:eastAsia="Times New Roman" w:hAnsi="Arial" w:cs="Arial"/>
                      <w:color w:val="444444"/>
                      <w:sz w:val="18"/>
                      <w:szCs w:val="18"/>
                    </w:rPr>
                  </w:pPr>
                  <w:r w:rsidRPr="00CA62C3">
                    <w:rPr>
                      <w:rFonts w:ascii="Arial" w:eastAsia="Times New Roman" w:hAnsi="Arial" w:cs="Arial"/>
                      <w:color w:val="444444"/>
                      <w:sz w:val="18"/>
                      <w:szCs w:val="18"/>
                    </w:rPr>
                    <w:t>Loan B</w:t>
                  </w:r>
                </w:p>
              </w:tc>
              <w:tc>
                <w:tcPr>
                  <w:tcW w:w="940" w:type="dxa"/>
                </w:tcPr>
                <w:p w14:paraId="480DAD22" w14:textId="77777777" w:rsidR="003A4BA4" w:rsidRPr="00CA62C3" w:rsidRDefault="003A4BA4" w:rsidP="003653A4">
                  <w:pPr>
                    <w:spacing w:line="281" w:lineRule="atLeast"/>
                    <w:jc w:val="right"/>
                    <w:rPr>
                      <w:rFonts w:ascii="Arial" w:eastAsia="Times New Roman" w:hAnsi="Arial" w:cs="Arial"/>
                      <w:color w:val="444444"/>
                      <w:sz w:val="18"/>
                      <w:szCs w:val="18"/>
                    </w:rPr>
                  </w:pPr>
                  <w:r w:rsidRPr="00CA62C3">
                    <w:rPr>
                      <w:rFonts w:ascii="Arial" w:eastAsia="Times New Roman" w:hAnsi="Arial" w:cs="Arial"/>
                      <w:color w:val="444444"/>
                      <w:sz w:val="18"/>
                      <w:szCs w:val="18"/>
                    </w:rPr>
                    <w:t>300,000</w:t>
                  </w:r>
                </w:p>
              </w:tc>
              <w:tc>
                <w:tcPr>
                  <w:tcW w:w="1670" w:type="dxa"/>
                </w:tcPr>
                <w:p w14:paraId="4FB7D575" w14:textId="77777777" w:rsidR="003A4BA4" w:rsidRPr="00CA62C3" w:rsidRDefault="003A4BA4" w:rsidP="003653A4">
                  <w:pPr>
                    <w:spacing w:line="281" w:lineRule="atLeast"/>
                    <w:jc w:val="right"/>
                    <w:rPr>
                      <w:rFonts w:ascii="Arial" w:eastAsia="Times New Roman" w:hAnsi="Arial" w:cs="Arial"/>
                      <w:color w:val="444444"/>
                      <w:sz w:val="18"/>
                      <w:szCs w:val="18"/>
                    </w:rPr>
                  </w:pPr>
                  <w:r w:rsidRPr="00CA62C3">
                    <w:rPr>
                      <w:rFonts w:ascii="Arial" w:eastAsia="Times New Roman" w:hAnsi="Arial" w:cs="Arial"/>
                      <w:color w:val="444444"/>
                      <w:sz w:val="18"/>
                      <w:szCs w:val="18"/>
                    </w:rPr>
                    <w:t>5.00%</w:t>
                  </w:r>
                </w:p>
              </w:tc>
            </w:tr>
            <w:tr w:rsidR="003A4BA4" w:rsidRPr="003B5160" w14:paraId="6EC2DB8C" w14:textId="77777777" w:rsidTr="003653A4">
              <w:trPr>
                <w:gridAfter w:val="1"/>
                <w:wAfter w:w="25" w:type="dxa"/>
              </w:trPr>
              <w:tc>
                <w:tcPr>
                  <w:tcW w:w="1075" w:type="dxa"/>
                </w:tcPr>
                <w:p w14:paraId="3063EE5E" w14:textId="77777777" w:rsidR="003A4BA4" w:rsidRPr="00CA62C3" w:rsidRDefault="003A4BA4" w:rsidP="003653A4">
                  <w:pPr>
                    <w:spacing w:line="281" w:lineRule="atLeast"/>
                    <w:rPr>
                      <w:rFonts w:ascii="Arial" w:eastAsia="Times New Roman" w:hAnsi="Arial" w:cs="Arial"/>
                      <w:color w:val="444444"/>
                      <w:sz w:val="18"/>
                      <w:szCs w:val="18"/>
                    </w:rPr>
                  </w:pPr>
                  <w:r w:rsidRPr="00CA62C3">
                    <w:rPr>
                      <w:rFonts w:ascii="Arial" w:eastAsia="Times New Roman" w:hAnsi="Arial" w:cs="Arial"/>
                      <w:color w:val="444444"/>
                      <w:sz w:val="18"/>
                      <w:szCs w:val="18"/>
                    </w:rPr>
                    <w:t>Loan C</w:t>
                  </w:r>
                </w:p>
              </w:tc>
              <w:tc>
                <w:tcPr>
                  <w:tcW w:w="940" w:type="dxa"/>
                </w:tcPr>
                <w:p w14:paraId="04BC6757" w14:textId="77777777" w:rsidR="003A4BA4" w:rsidRPr="00CA62C3" w:rsidRDefault="003A4BA4" w:rsidP="003653A4">
                  <w:pPr>
                    <w:spacing w:line="281" w:lineRule="atLeast"/>
                    <w:jc w:val="right"/>
                    <w:rPr>
                      <w:rFonts w:ascii="Arial" w:eastAsia="Times New Roman" w:hAnsi="Arial" w:cs="Arial"/>
                      <w:color w:val="444444"/>
                      <w:sz w:val="18"/>
                      <w:szCs w:val="18"/>
                    </w:rPr>
                  </w:pPr>
                  <w:r w:rsidRPr="00CA62C3">
                    <w:rPr>
                      <w:rFonts w:ascii="Arial" w:eastAsia="Times New Roman" w:hAnsi="Arial" w:cs="Arial"/>
                      <w:color w:val="444444"/>
                      <w:sz w:val="18"/>
                      <w:szCs w:val="18"/>
                    </w:rPr>
                    <w:t>600,000</w:t>
                  </w:r>
                </w:p>
              </w:tc>
              <w:tc>
                <w:tcPr>
                  <w:tcW w:w="1670" w:type="dxa"/>
                </w:tcPr>
                <w:p w14:paraId="4AD52A41" w14:textId="77777777" w:rsidR="003A4BA4" w:rsidRPr="00CA62C3" w:rsidRDefault="003A4BA4" w:rsidP="003653A4">
                  <w:pPr>
                    <w:spacing w:line="281" w:lineRule="atLeast"/>
                    <w:jc w:val="right"/>
                    <w:rPr>
                      <w:rFonts w:ascii="Arial" w:eastAsia="Times New Roman" w:hAnsi="Arial" w:cs="Arial"/>
                      <w:color w:val="444444"/>
                      <w:sz w:val="18"/>
                      <w:szCs w:val="18"/>
                      <w:u w:val="single"/>
                    </w:rPr>
                  </w:pPr>
                  <w:r w:rsidRPr="00CA62C3">
                    <w:rPr>
                      <w:rFonts w:ascii="Arial" w:eastAsia="Times New Roman" w:hAnsi="Arial" w:cs="Arial"/>
                      <w:color w:val="444444"/>
                      <w:sz w:val="18"/>
                      <w:szCs w:val="18"/>
                      <w:u w:val="single"/>
                    </w:rPr>
                    <w:t>7.00%</w:t>
                  </w:r>
                </w:p>
              </w:tc>
            </w:tr>
            <w:tr w:rsidR="003A4BA4" w:rsidRPr="003B5160" w14:paraId="5189E483" w14:textId="77777777" w:rsidTr="003653A4">
              <w:trPr>
                <w:gridAfter w:val="1"/>
                <w:wAfter w:w="25" w:type="dxa"/>
              </w:trPr>
              <w:tc>
                <w:tcPr>
                  <w:tcW w:w="1075" w:type="dxa"/>
                </w:tcPr>
                <w:p w14:paraId="446D8531" w14:textId="77777777" w:rsidR="003A4BA4" w:rsidRPr="00CA62C3" w:rsidRDefault="003A4BA4" w:rsidP="003653A4">
                  <w:pPr>
                    <w:spacing w:line="281" w:lineRule="atLeast"/>
                    <w:rPr>
                      <w:rFonts w:ascii="Arial" w:eastAsia="Times New Roman" w:hAnsi="Arial" w:cs="Arial"/>
                      <w:color w:val="444444"/>
                      <w:sz w:val="18"/>
                      <w:szCs w:val="18"/>
                    </w:rPr>
                  </w:pPr>
                  <w:r w:rsidRPr="00CA62C3">
                    <w:rPr>
                      <w:rFonts w:ascii="Arial" w:eastAsia="Times New Roman" w:hAnsi="Arial" w:cs="Arial"/>
                      <w:color w:val="444444"/>
                      <w:sz w:val="18"/>
                      <w:szCs w:val="18"/>
                    </w:rPr>
                    <w:t>Sum</w:t>
                  </w:r>
                </w:p>
              </w:tc>
              <w:tc>
                <w:tcPr>
                  <w:tcW w:w="940" w:type="dxa"/>
                </w:tcPr>
                <w:p w14:paraId="389B820B" w14:textId="77777777" w:rsidR="003A4BA4" w:rsidRPr="00CA62C3" w:rsidRDefault="003A4BA4" w:rsidP="003653A4">
                  <w:pPr>
                    <w:spacing w:line="281" w:lineRule="atLeast"/>
                    <w:rPr>
                      <w:rFonts w:ascii="Arial" w:eastAsia="Times New Roman" w:hAnsi="Arial" w:cs="Arial"/>
                      <w:color w:val="444444"/>
                      <w:sz w:val="18"/>
                      <w:szCs w:val="18"/>
                    </w:rPr>
                  </w:pPr>
                </w:p>
              </w:tc>
              <w:tc>
                <w:tcPr>
                  <w:tcW w:w="1670" w:type="dxa"/>
                </w:tcPr>
                <w:p w14:paraId="40D8A049" w14:textId="77777777" w:rsidR="003A4BA4" w:rsidRPr="00CA62C3" w:rsidRDefault="003A4BA4" w:rsidP="003653A4">
                  <w:pPr>
                    <w:spacing w:line="281" w:lineRule="atLeast"/>
                    <w:jc w:val="right"/>
                    <w:rPr>
                      <w:rFonts w:ascii="Arial" w:eastAsia="Times New Roman" w:hAnsi="Arial" w:cs="Arial"/>
                      <w:color w:val="444444"/>
                      <w:sz w:val="18"/>
                      <w:szCs w:val="18"/>
                    </w:rPr>
                  </w:pPr>
                  <w:r w:rsidRPr="00CA62C3">
                    <w:rPr>
                      <w:rFonts w:ascii="Arial" w:eastAsia="Times New Roman" w:hAnsi="Arial" w:cs="Arial"/>
                      <w:color w:val="444444"/>
                      <w:sz w:val="18"/>
                      <w:szCs w:val="18"/>
                    </w:rPr>
                    <w:t>18.00%</w:t>
                  </w:r>
                </w:p>
              </w:tc>
            </w:tr>
            <w:tr w:rsidR="003A4BA4" w:rsidRPr="003B5160" w14:paraId="43B60907" w14:textId="77777777" w:rsidTr="003653A4">
              <w:trPr>
                <w:gridAfter w:val="1"/>
                <w:wAfter w:w="25" w:type="dxa"/>
              </w:trPr>
              <w:tc>
                <w:tcPr>
                  <w:tcW w:w="1075" w:type="dxa"/>
                </w:tcPr>
                <w:p w14:paraId="3210672F" w14:textId="77777777" w:rsidR="003A4BA4" w:rsidRPr="00CA62C3" w:rsidRDefault="003A4BA4" w:rsidP="003653A4">
                  <w:pPr>
                    <w:spacing w:line="281" w:lineRule="atLeast"/>
                    <w:rPr>
                      <w:rFonts w:ascii="Arial" w:eastAsia="Times New Roman" w:hAnsi="Arial" w:cs="Arial"/>
                      <w:color w:val="444444"/>
                      <w:sz w:val="18"/>
                      <w:szCs w:val="18"/>
                    </w:rPr>
                  </w:pPr>
                  <w:r w:rsidRPr="00CA62C3">
                    <w:rPr>
                      <w:rFonts w:ascii="Arial" w:eastAsia="Times New Roman" w:hAnsi="Arial" w:cs="Arial"/>
                      <w:color w:val="444444"/>
                      <w:sz w:val="18"/>
                      <w:szCs w:val="18"/>
                    </w:rPr>
                    <w:t>Total # Loans</w:t>
                  </w:r>
                </w:p>
              </w:tc>
              <w:tc>
                <w:tcPr>
                  <w:tcW w:w="940" w:type="dxa"/>
                </w:tcPr>
                <w:p w14:paraId="3A5337A3" w14:textId="77777777" w:rsidR="003A4BA4" w:rsidRPr="00CA62C3" w:rsidRDefault="003A4BA4" w:rsidP="003653A4">
                  <w:pPr>
                    <w:spacing w:line="281" w:lineRule="atLeast"/>
                    <w:rPr>
                      <w:rFonts w:ascii="Arial" w:eastAsia="Times New Roman" w:hAnsi="Arial" w:cs="Arial"/>
                      <w:color w:val="444444"/>
                      <w:sz w:val="18"/>
                      <w:szCs w:val="18"/>
                    </w:rPr>
                  </w:pPr>
                </w:p>
              </w:tc>
              <w:tc>
                <w:tcPr>
                  <w:tcW w:w="1670" w:type="dxa"/>
                </w:tcPr>
                <w:p w14:paraId="258A3F95" w14:textId="77777777" w:rsidR="003A4BA4" w:rsidRPr="00CA62C3" w:rsidRDefault="003A4BA4" w:rsidP="003653A4">
                  <w:pPr>
                    <w:spacing w:line="281" w:lineRule="atLeast"/>
                    <w:jc w:val="right"/>
                    <w:rPr>
                      <w:rFonts w:ascii="Arial" w:eastAsia="Times New Roman" w:hAnsi="Arial" w:cs="Arial"/>
                      <w:color w:val="444444"/>
                      <w:sz w:val="18"/>
                      <w:szCs w:val="18"/>
                    </w:rPr>
                  </w:pPr>
                  <w:r w:rsidRPr="00CA62C3">
                    <w:rPr>
                      <w:rFonts w:ascii="Arial" w:eastAsia="Times New Roman" w:hAnsi="Arial" w:cs="Arial"/>
                      <w:color w:val="444444"/>
                      <w:sz w:val="18"/>
                      <w:szCs w:val="18"/>
                    </w:rPr>
                    <w:t>3</w:t>
                  </w:r>
                </w:p>
              </w:tc>
            </w:tr>
            <w:tr w:rsidR="003A4BA4" w:rsidRPr="003B5160" w14:paraId="369E7FE7" w14:textId="77777777" w:rsidTr="003653A4">
              <w:trPr>
                <w:gridAfter w:val="1"/>
                <w:wAfter w:w="25" w:type="dxa"/>
              </w:trPr>
              <w:tc>
                <w:tcPr>
                  <w:tcW w:w="1075" w:type="dxa"/>
                </w:tcPr>
                <w:p w14:paraId="3985197A" w14:textId="77777777" w:rsidR="003A4BA4" w:rsidRPr="00CA62C3" w:rsidRDefault="003A4BA4" w:rsidP="003653A4">
                  <w:pPr>
                    <w:spacing w:line="281" w:lineRule="atLeast"/>
                    <w:rPr>
                      <w:rFonts w:ascii="Arial" w:eastAsia="Times New Roman" w:hAnsi="Arial" w:cs="Arial"/>
                      <w:color w:val="444444"/>
                      <w:sz w:val="18"/>
                      <w:szCs w:val="18"/>
                    </w:rPr>
                  </w:pPr>
                  <w:r w:rsidRPr="00CA62C3">
                    <w:rPr>
                      <w:rFonts w:ascii="Arial" w:eastAsia="Times New Roman" w:hAnsi="Arial" w:cs="Arial"/>
                      <w:color w:val="444444"/>
                      <w:sz w:val="18"/>
                      <w:szCs w:val="18"/>
                    </w:rPr>
                    <w:t xml:space="preserve">Avg Yield (Sum of Int </w:t>
                  </w:r>
                  <w:proofErr w:type="gramStart"/>
                  <w:r w:rsidRPr="00CA62C3">
                    <w:rPr>
                      <w:rFonts w:ascii="Arial" w:eastAsia="Times New Roman" w:hAnsi="Arial" w:cs="Arial"/>
                      <w:color w:val="444444"/>
                      <w:sz w:val="18"/>
                      <w:szCs w:val="18"/>
                    </w:rPr>
                    <w:t>Rates / #</w:t>
                  </w:r>
                  <w:proofErr w:type="gramEnd"/>
                  <w:r w:rsidRPr="00CA62C3">
                    <w:rPr>
                      <w:rFonts w:ascii="Arial" w:eastAsia="Times New Roman" w:hAnsi="Arial" w:cs="Arial"/>
                      <w:color w:val="444444"/>
                      <w:sz w:val="18"/>
                      <w:szCs w:val="18"/>
                    </w:rPr>
                    <w:t xml:space="preserve"> Loans)</w:t>
                  </w:r>
                </w:p>
              </w:tc>
              <w:tc>
                <w:tcPr>
                  <w:tcW w:w="940" w:type="dxa"/>
                </w:tcPr>
                <w:p w14:paraId="422F1F2F" w14:textId="77777777" w:rsidR="003A4BA4" w:rsidRPr="00CA62C3" w:rsidRDefault="003A4BA4" w:rsidP="003653A4">
                  <w:pPr>
                    <w:spacing w:line="281" w:lineRule="atLeast"/>
                    <w:rPr>
                      <w:rFonts w:ascii="Arial" w:eastAsia="Times New Roman" w:hAnsi="Arial" w:cs="Arial"/>
                      <w:color w:val="444444"/>
                      <w:sz w:val="18"/>
                      <w:szCs w:val="18"/>
                    </w:rPr>
                  </w:pPr>
                </w:p>
              </w:tc>
              <w:tc>
                <w:tcPr>
                  <w:tcW w:w="1670" w:type="dxa"/>
                </w:tcPr>
                <w:p w14:paraId="24CC1AF4" w14:textId="77777777" w:rsidR="003A4BA4" w:rsidRPr="00CA62C3" w:rsidRDefault="003A4BA4" w:rsidP="003653A4">
                  <w:pPr>
                    <w:spacing w:line="281" w:lineRule="atLeast"/>
                    <w:jc w:val="right"/>
                    <w:rPr>
                      <w:rFonts w:ascii="Arial" w:eastAsia="Times New Roman" w:hAnsi="Arial" w:cs="Arial"/>
                      <w:color w:val="444444"/>
                      <w:sz w:val="18"/>
                      <w:szCs w:val="18"/>
                    </w:rPr>
                  </w:pPr>
                </w:p>
                <w:p w14:paraId="4532C40E" w14:textId="77777777" w:rsidR="003A4BA4" w:rsidRPr="00CA62C3" w:rsidRDefault="003A4BA4" w:rsidP="003653A4">
                  <w:pPr>
                    <w:spacing w:line="281" w:lineRule="atLeast"/>
                    <w:jc w:val="right"/>
                    <w:rPr>
                      <w:rFonts w:ascii="Arial" w:eastAsia="Times New Roman" w:hAnsi="Arial" w:cs="Arial"/>
                      <w:color w:val="444444"/>
                      <w:sz w:val="18"/>
                      <w:szCs w:val="18"/>
                    </w:rPr>
                  </w:pPr>
                </w:p>
                <w:p w14:paraId="47981684" w14:textId="77777777" w:rsidR="003A4BA4" w:rsidRPr="00CA62C3" w:rsidRDefault="003A4BA4" w:rsidP="003653A4">
                  <w:pPr>
                    <w:spacing w:line="281" w:lineRule="atLeast"/>
                    <w:jc w:val="right"/>
                    <w:rPr>
                      <w:rFonts w:ascii="Arial" w:eastAsia="Times New Roman" w:hAnsi="Arial" w:cs="Arial"/>
                      <w:color w:val="444444"/>
                      <w:sz w:val="18"/>
                      <w:szCs w:val="18"/>
                    </w:rPr>
                  </w:pPr>
                </w:p>
                <w:p w14:paraId="30A4A018" w14:textId="77777777" w:rsidR="003A4BA4" w:rsidRPr="00CA62C3" w:rsidRDefault="003A4BA4" w:rsidP="003653A4">
                  <w:pPr>
                    <w:spacing w:line="281" w:lineRule="atLeast"/>
                    <w:jc w:val="right"/>
                    <w:rPr>
                      <w:rFonts w:ascii="Arial" w:eastAsia="Times New Roman" w:hAnsi="Arial" w:cs="Arial"/>
                      <w:b/>
                      <w:bCs/>
                      <w:color w:val="444444"/>
                      <w:sz w:val="18"/>
                      <w:szCs w:val="18"/>
                    </w:rPr>
                  </w:pPr>
                  <w:r w:rsidRPr="00CA62C3">
                    <w:rPr>
                      <w:rFonts w:ascii="Arial" w:eastAsia="Times New Roman" w:hAnsi="Arial" w:cs="Arial"/>
                      <w:b/>
                      <w:bCs/>
                      <w:color w:val="444444"/>
                      <w:sz w:val="18"/>
                      <w:szCs w:val="18"/>
                    </w:rPr>
                    <w:t>6.00%</w:t>
                  </w:r>
                </w:p>
              </w:tc>
            </w:tr>
          </w:tbl>
          <w:tbl>
            <w:tblPr>
              <w:tblStyle w:val="TableGrid"/>
              <w:tblpPr w:leftFromText="180" w:rightFromText="180" w:vertAnchor="text" w:horzAnchor="margin" w:tblpXSpec="right" w:tblpY="-306"/>
              <w:tblOverlap w:val="never"/>
              <w:tblW w:w="0" w:type="auto"/>
              <w:tblLook w:val="04A0" w:firstRow="1" w:lastRow="0" w:firstColumn="1" w:lastColumn="0" w:noHBand="0" w:noVBand="1"/>
            </w:tblPr>
            <w:tblGrid>
              <w:gridCol w:w="1508"/>
              <w:gridCol w:w="1143"/>
              <w:gridCol w:w="1059"/>
              <w:gridCol w:w="1235"/>
            </w:tblGrid>
            <w:tr w:rsidR="003A4BA4" w:rsidRPr="00CA62C3" w14:paraId="2BBD3361" w14:textId="77777777" w:rsidTr="003653A4">
              <w:tc>
                <w:tcPr>
                  <w:tcW w:w="4945" w:type="dxa"/>
                  <w:gridSpan w:val="4"/>
                </w:tcPr>
                <w:p w14:paraId="799D89D2" w14:textId="77777777" w:rsidR="003A4BA4" w:rsidRPr="00EC3ED1" w:rsidRDefault="003A4BA4" w:rsidP="003653A4">
                  <w:pPr>
                    <w:spacing w:line="281" w:lineRule="atLeast"/>
                    <w:jc w:val="center"/>
                    <w:rPr>
                      <w:rFonts w:ascii="Arial" w:eastAsia="Times New Roman" w:hAnsi="Arial" w:cs="Arial"/>
                      <w:b/>
                      <w:bCs/>
                      <w:color w:val="444444"/>
                      <w:sz w:val="18"/>
                      <w:szCs w:val="18"/>
                    </w:rPr>
                  </w:pPr>
                  <w:r w:rsidRPr="00EC3ED1">
                    <w:rPr>
                      <w:rFonts w:ascii="Arial" w:eastAsia="Times New Roman" w:hAnsi="Arial" w:cs="Arial"/>
                      <w:b/>
                      <w:bCs/>
                      <w:color w:val="444444"/>
                      <w:sz w:val="18"/>
                      <w:szCs w:val="18"/>
                    </w:rPr>
                    <w:t xml:space="preserve">Example: Weighted Average Yield on </w:t>
                  </w:r>
                  <w:r w:rsidRPr="00EC3ED1">
                    <w:rPr>
                      <w:rFonts w:ascii="Arial" w:eastAsia="Times New Roman" w:hAnsi="Arial" w:cs="Arial"/>
                      <w:b/>
                      <w:bCs/>
                      <w:color w:val="444444"/>
                      <w:sz w:val="18"/>
                      <w:szCs w:val="18"/>
                    </w:rPr>
                    <w:br/>
                    <w:t>Floating Loans Above Floor</w:t>
                  </w:r>
                </w:p>
              </w:tc>
            </w:tr>
            <w:tr w:rsidR="003A4BA4" w:rsidRPr="00CA62C3" w14:paraId="706D2248" w14:textId="77777777" w:rsidTr="003653A4">
              <w:tc>
                <w:tcPr>
                  <w:tcW w:w="1508" w:type="dxa"/>
                </w:tcPr>
                <w:p w14:paraId="1468CDE8" w14:textId="77777777" w:rsidR="003A4BA4" w:rsidRPr="00CA62C3" w:rsidRDefault="003A4BA4" w:rsidP="003653A4">
                  <w:pPr>
                    <w:spacing w:line="281" w:lineRule="atLeast"/>
                    <w:rPr>
                      <w:rFonts w:ascii="Arial" w:eastAsia="Times New Roman" w:hAnsi="Arial" w:cs="Arial"/>
                      <w:color w:val="444444"/>
                      <w:sz w:val="18"/>
                      <w:szCs w:val="18"/>
                    </w:rPr>
                  </w:pPr>
                </w:p>
              </w:tc>
              <w:tc>
                <w:tcPr>
                  <w:tcW w:w="1143" w:type="dxa"/>
                </w:tcPr>
                <w:p w14:paraId="13B00391" w14:textId="77777777" w:rsidR="003A4BA4" w:rsidRPr="00CA62C3" w:rsidRDefault="003A4BA4" w:rsidP="003653A4">
                  <w:pPr>
                    <w:spacing w:line="281" w:lineRule="atLeast"/>
                    <w:rPr>
                      <w:rFonts w:ascii="Arial" w:eastAsia="Times New Roman" w:hAnsi="Arial" w:cs="Arial"/>
                      <w:color w:val="444444"/>
                      <w:sz w:val="18"/>
                      <w:szCs w:val="18"/>
                    </w:rPr>
                  </w:pPr>
                  <w:r w:rsidRPr="00CA62C3">
                    <w:rPr>
                      <w:rFonts w:ascii="Arial" w:eastAsia="Times New Roman" w:hAnsi="Arial" w:cs="Arial"/>
                      <w:color w:val="444444"/>
                      <w:sz w:val="18"/>
                      <w:szCs w:val="18"/>
                    </w:rPr>
                    <w:t>Avg Bal</w:t>
                  </w:r>
                </w:p>
              </w:tc>
              <w:tc>
                <w:tcPr>
                  <w:tcW w:w="1059" w:type="dxa"/>
                </w:tcPr>
                <w:p w14:paraId="628593B0" w14:textId="77777777" w:rsidR="003A4BA4" w:rsidRPr="00CA62C3" w:rsidRDefault="003A4BA4" w:rsidP="003653A4">
                  <w:pPr>
                    <w:spacing w:line="281" w:lineRule="atLeast"/>
                    <w:rPr>
                      <w:rFonts w:ascii="Arial" w:eastAsia="Times New Roman" w:hAnsi="Arial" w:cs="Arial"/>
                      <w:color w:val="444444"/>
                      <w:sz w:val="18"/>
                      <w:szCs w:val="18"/>
                    </w:rPr>
                  </w:pPr>
                  <w:r w:rsidRPr="00CA62C3">
                    <w:rPr>
                      <w:rFonts w:ascii="Arial" w:eastAsia="Times New Roman" w:hAnsi="Arial" w:cs="Arial"/>
                      <w:color w:val="444444"/>
                      <w:sz w:val="18"/>
                      <w:szCs w:val="18"/>
                    </w:rPr>
                    <w:t>Int Rate (Yield)</w:t>
                  </w:r>
                </w:p>
              </w:tc>
              <w:tc>
                <w:tcPr>
                  <w:tcW w:w="1235" w:type="dxa"/>
                </w:tcPr>
                <w:p w14:paraId="397FA1C0" w14:textId="77777777" w:rsidR="003A4BA4" w:rsidRPr="00CA62C3" w:rsidRDefault="003A4BA4" w:rsidP="003653A4">
                  <w:pPr>
                    <w:spacing w:line="281" w:lineRule="atLeast"/>
                    <w:rPr>
                      <w:rFonts w:ascii="Arial" w:eastAsia="Times New Roman" w:hAnsi="Arial" w:cs="Arial"/>
                      <w:color w:val="444444"/>
                      <w:sz w:val="18"/>
                      <w:szCs w:val="18"/>
                    </w:rPr>
                  </w:pPr>
                  <w:r w:rsidRPr="00CA62C3">
                    <w:rPr>
                      <w:rFonts w:ascii="Arial" w:eastAsia="Times New Roman" w:hAnsi="Arial" w:cs="Arial"/>
                      <w:color w:val="444444"/>
                      <w:sz w:val="18"/>
                      <w:szCs w:val="18"/>
                    </w:rPr>
                    <w:t>Interest Amt</w:t>
                  </w:r>
                </w:p>
              </w:tc>
            </w:tr>
            <w:tr w:rsidR="003A4BA4" w:rsidRPr="00CA62C3" w14:paraId="5DF4CE17" w14:textId="77777777" w:rsidTr="003653A4">
              <w:tc>
                <w:tcPr>
                  <w:tcW w:w="1508" w:type="dxa"/>
                </w:tcPr>
                <w:p w14:paraId="25C914B3" w14:textId="77777777" w:rsidR="003A4BA4" w:rsidRPr="00CA62C3" w:rsidRDefault="003A4BA4" w:rsidP="003653A4">
                  <w:pPr>
                    <w:spacing w:line="281" w:lineRule="atLeast"/>
                    <w:rPr>
                      <w:rFonts w:ascii="Arial" w:eastAsia="Times New Roman" w:hAnsi="Arial" w:cs="Arial"/>
                      <w:color w:val="444444"/>
                      <w:sz w:val="18"/>
                      <w:szCs w:val="18"/>
                    </w:rPr>
                  </w:pPr>
                  <w:r w:rsidRPr="00CA62C3">
                    <w:rPr>
                      <w:rFonts w:ascii="Arial" w:eastAsia="Times New Roman" w:hAnsi="Arial" w:cs="Arial"/>
                      <w:color w:val="444444"/>
                      <w:sz w:val="18"/>
                      <w:szCs w:val="18"/>
                    </w:rPr>
                    <w:t>Loan A</w:t>
                  </w:r>
                </w:p>
              </w:tc>
              <w:tc>
                <w:tcPr>
                  <w:tcW w:w="1143" w:type="dxa"/>
                </w:tcPr>
                <w:p w14:paraId="2E2BEA46" w14:textId="77777777" w:rsidR="003A4BA4" w:rsidRPr="00CA62C3" w:rsidRDefault="003A4BA4" w:rsidP="003653A4">
                  <w:pPr>
                    <w:spacing w:line="281" w:lineRule="atLeast"/>
                    <w:jc w:val="right"/>
                    <w:rPr>
                      <w:rFonts w:ascii="Arial" w:eastAsia="Times New Roman" w:hAnsi="Arial" w:cs="Arial"/>
                      <w:color w:val="444444"/>
                      <w:sz w:val="18"/>
                      <w:szCs w:val="18"/>
                    </w:rPr>
                  </w:pPr>
                  <w:r w:rsidRPr="00CA62C3">
                    <w:rPr>
                      <w:rFonts w:ascii="Arial" w:eastAsia="Times New Roman" w:hAnsi="Arial" w:cs="Arial"/>
                      <w:color w:val="444444"/>
                      <w:sz w:val="18"/>
                      <w:szCs w:val="18"/>
                    </w:rPr>
                    <w:t>100,000</w:t>
                  </w:r>
                </w:p>
              </w:tc>
              <w:tc>
                <w:tcPr>
                  <w:tcW w:w="1059" w:type="dxa"/>
                </w:tcPr>
                <w:p w14:paraId="65C751B3" w14:textId="77777777" w:rsidR="003A4BA4" w:rsidRPr="00CA62C3" w:rsidRDefault="003A4BA4" w:rsidP="003653A4">
                  <w:pPr>
                    <w:spacing w:line="281" w:lineRule="atLeast"/>
                    <w:jc w:val="right"/>
                    <w:rPr>
                      <w:rFonts w:ascii="Arial" w:eastAsia="Times New Roman" w:hAnsi="Arial" w:cs="Arial"/>
                      <w:color w:val="444444"/>
                      <w:sz w:val="18"/>
                      <w:szCs w:val="18"/>
                    </w:rPr>
                  </w:pPr>
                  <w:r w:rsidRPr="00CA62C3">
                    <w:rPr>
                      <w:rFonts w:ascii="Arial" w:eastAsia="Times New Roman" w:hAnsi="Arial" w:cs="Arial"/>
                      <w:color w:val="444444"/>
                      <w:sz w:val="18"/>
                      <w:szCs w:val="18"/>
                    </w:rPr>
                    <w:t>6.00%</w:t>
                  </w:r>
                </w:p>
              </w:tc>
              <w:tc>
                <w:tcPr>
                  <w:tcW w:w="1235" w:type="dxa"/>
                </w:tcPr>
                <w:p w14:paraId="2A962ACD" w14:textId="77777777" w:rsidR="003A4BA4" w:rsidRPr="00CA62C3" w:rsidRDefault="003A4BA4" w:rsidP="003653A4">
                  <w:pPr>
                    <w:spacing w:line="281" w:lineRule="atLeast"/>
                    <w:jc w:val="right"/>
                    <w:rPr>
                      <w:rFonts w:ascii="Arial" w:eastAsia="Times New Roman" w:hAnsi="Arial" w:cs="Arial"/>
                      <w:color w:val="444444"/>
                      <w:sz w:val="18"/>
                      <w:szCs w:val="18"/>
                    </w:rPr>
                  </w:pPr>
                  <w:r w:rsidRPr="00CA62C3">
                    <w:rPr>
                      <w:rFonts w:ascii="Arial" w:eastAsia="Times New Roman" w:hAnsi="Arial" w:cs="Arial"/>
                      <w:color w:val="444444"/>
                      <w:sz w:val="18"/>
                      <w:szCs w:val="18"/>
                    </w:rPr>
                    <w:t>6,000</w:t>
                  </w:r>
                </w:p>
              </w:tc>
            </w:tr>
            <w:tr w:rsidR="003A4BA4" w:rsidRPr="00CA62C3" w14:paraId="4A2791D5" w14:textId="77777777" w:rsidTr="003653A4">
              <w:tc>
                <w:tcPr>
                  <w:tcW w:w="1508" w:type="dxa"/>
                </w:tcPr>
                <w:p w14:paraId="13933D79" w14:textId="77777777" w:rsidR="003A4BA4" w:rsidRPr="00CA62C3" w:rsidRDefault="003A4BA4" w:rsidP="003653A4">
                  <w:pPr>
                    <w:spacing w:line="281" w:lineRule="atLeast"/>
                    <w:rPr>
                      <w:rFonts w:ascii="Arial" w:eastAsia="Times New Roman" w:hAnsi="Arial" w:cs="Arial"/>
                      <w:color w:val="444444"/>
                      <w:sz w:val="18"/>
                      <w:szCs w:val="18"/>
                    </w:rPr>
                  </w:pPr>
                  <w:r w:rsidRPr="00CA62C3">
                    <w:rPr>
                      <w:rFonts w:ascii="Arial" w:eastAsia="Times New Roman" w:hAnsi="Arial" w:cs="Arial"/>
                      <w:color w:val="444444"/>
                      <w:sz w:val="18"/>
                      <w:szCs w:val="18"/>
                    </w:rPr>
                    <w:t>Loan B</w:t>
                  </w:r>
                </w:p>
              </w:tc>
              <w:tc>
                <w:tcPr>
                  <w:tcW w:w="1143" w:type="dxa"/>
                </w:tcPr>
                <w:p w14:paraId="12A9FAC4" w14:textId="77777777" w:rsidR="003A4BA4" w:rsidRPr="00CA62C3" w:rsidRDefault="003A4BA4" w:rsidP="003653A4">
                  <w:pPr>
                    <w:spacing w:line="281" w:lineRule="atLeast"/>
                    <w:jc w:val="right"/>
                    <w:rPr>
                      <w:rFonts w:ascii="Arial" w:eastAsia="Times New Roman" w:hAnsi="Arial" w:cs="Arial"/>
                      <w:color w:val="444444"/>
                      <w:sz w:val="18"/>
                      <w:szCs w:val="18"/>
                    </w:rPr>
                  </w:pPr>
                  <w:r w:rsidRPr="00CA62C3">
                    <w:rPr>
                      <w:rFonts w:ascii="Arial" w:eastAsia="Times New Roman" w:hAnsi="Arial" w:cs="Arial"/>
                      <w:color w:val="444444"/>
                      <w:sz w:val="18"/>
                      <w:szCs w:val="18"/>
                    </w:rPr>
                    <w:t>300,000</w:t>
                  </w:r>
                </w:p>
              </w:tc>
              <w:tc>
                <w:tcPr>
                  <w:tcW w:w="1059" w:type="dxa"/>
                </w:tcPr>
                <w:p w14:paraId="1E05E056" w14:textId="77777777" w:rsidR="003A4BA4" w:rsidRPr="00CA62C3" w:rsidRDefault="003A4BA4" w:rsidP="003653A4">
                  <w:pPr>
                    <w:spacing w:line="281" w:lineRule="atLeast"/>
                    <w:jc w:val="right"/>
                    <w:rPr>
                      <w:rFonts w:ascii="Arial" w:eastAsia="Times New Roman" w:hAnsi="Arial" w:cs="Arial"/>
                      <w:color w:val="444444"/>
                      <w:sz w:val="18"/>
                      <w:szCs w:val="18"/>
                    </w:rPr>
                  </w:pPr>
                  <w:r w:rsidRPr="00CA62C3">
                    <w:rPr>
                      <w:rFonts w:ascii="Arial" w:eastAsia="Times New Roman" w:hAnsi="Arial" w:cs="Arial"/>
                      <w:color w:val="444444"/>
                      <w:sz w:val="18"/>
                      <w:szCs w:val="18"/>
                    </w:rPr>
                    <w:t>5.00%</w:t>
                  </w:r>
                </w:p>
              </w:tc>
              <w:tc>
                <w:tcPr>
                  <w:tcW w:w="1235" w:type="dxa"/>
                </w:tcPr>
                <w:p w14:paraId="627C0062" w14:textId="77777777" w:rsidR="003A4BA4" w:rsidRPr="00CA62C3" w:rsidRDefault="003A4BA4" w:rsidP="003653A4">
                  <w:pPr>
                    <w:spacing w:line="281" w:lineRule="atLeast"/>
                    <w:jc w:val="right"/>
                    <w:rPr>
                      <w:rFonts w:ascii="Arial" w:eastAsia="Times New Roman" w:hAnsi="Arial" w:cs="Arial"/>
                      <w:color w:val="444444"/>
                      <w:sz w:val="18"/>
                      <w:szCs w:val="18"/>
                    </w:rPr>
                  </w:pPr>
                  <w:r w:rsidRPr="00CA62C3">
                    <w:rPr>
                      <w:rFonts w:ascii="Arial" w:eastAsia="Times New Roman" w:hAnsi="Arial" w:cs="Arial"/>
                      <w:color w:val="444444"/>
                      <w:sz w:val="18"/>
                      <w:szCs w:val="18"/>
                    </w:rPr>
                    <w:t>15,000</w:t>
                  </w:r>
                </w:p>
              </w:tc>
            </w:tr>
            <w:tr w:rsidR="003A4BA4" w:rsidRPr="00CA62C3" w14:paraId="43B6DE08" w14:textId="77777777" w:rsidTr="003653A4">
              <w:tc>
                <w:tcPr>
                  <w:tcW w:w="1508" w:type="dxa"/>
                </w:tcPr>
                <w:p w14:paraId="6B12773C" w14:textId="77777777" w:rsidR="003A4BA4" w:rsidRPr="00CA62C3" w:rsidRDefault="003A4BA4" w:rsidP="003653A4">
                  <w:pPr>
                    <w:spacing w:line="281" w:lineRule="atLeast"/>
                    <w:rPr>
                      <w:rFonts w:ascii="Arial" w:eastAsia="Times New Roman" w:hAnsi="Arial" w:cs="Arial"/>
                      <w:color w:val="444444"/>
                      <w:sz w:val="18"/>
                      <w:szCs w:val="18"/>
                    </w:rPr>
                  </w:pPr>
                  <w:r w:rsidRPr="00CA62C3">
                    <w:rPr>
                      <w:rFonts w:ascii="Arial" w:eastAsia="Times New Roman" w:hAnsi="Arial" w:cs="Arial"/>
                      <w:color w:val="444444"/>
                      <w:sz w:val="18"/>
                      <w:szCs w:val="18"/>
                    </w:rPr>
                    <w:t>Loan C</w:t>
                  </w:r>
                </w:p>
              </w:tc>
              <w:tc>
                <w:tcPr>
                  <w:tcW w:w="1143" w:type="dxa"/>
                </w:tcPr>
                <w:p w14:paraId="3E75375A" w14:textId="77777777" w:rsidR="003A4BA4" w:rsidRPr="00CA62C3" w:rsidRDefault="003A4BA4" w:rsidP="003653A4">
                  <w:pPr>
                    <w:spacing w:line="281" w:lineRule="atLeast"/>
                    <w:jc w:val="right"/>
                    <w:rPr>
                      <w:rFonts w:ascii="Arial" w:eastAsia="Times New Roman" w:hAnsi="Arial" w:cs="Arial"/>
                      <w:color w:val="444444"/>
                      <w:sz w:val="18"/>
                      <w:szCs w:val="18"/>
                    </w:rPr>
                  </w:pPr>
                  <w:r w:rsidRPr="00CA62C3">
                    <w:rPr>
                      <w:rFonts w:ascii="Arial" w:eastAsia="Times New Roman" w:hAnsi="Arial" w:cs="Arial"/>
                      <w:color w:val="444444"/>
                      <w:sz w:val="18"/>
                      <w:szCs w:val="18"/>
                    </w:rPr>
                    <w:t>600,000</w:t>
                  </w:r>
                </w:p>
              </w:tc>
              <w:tc>
                <w:tcPr>
                  <w:tcW w:w="1059" w:type="dxa"/>
                </w:tcPr>
                <w:p w14:paraId="31D94998" w14:textId="77777777" w:rsidR="003A4BA4" w:rsidRPr="00CA62C3" w:rsidRDefault="003A4BA4" w:rsidP="003653A4">
                  <w:pPr>
                    <w:spacing w:line="281" w:lineRule="atLeast"/>
                    <w:jc w:val="right"/>
                    <w:rPr>
                      <w:rFonts w:ascii="Arial" w:eastAsia="Times New Roman" w:hAnsi="Arial" w:cs="Arial"/>
                      <w:color w:val="444444"/>
                      <w:sz w:val="18"/>
                      <w:szCs w:val="18"/>
                    </w:rPr>
                  </w:pPr>
                  <w:r w:rsidRPr="00CA62C3">
                    <w:rPr>
                      <w:rFonts w:ascii="Arial" w:eastAsia="Times New Roman" w:hAnsi="Arial" w:cs="Arial"/>
                      <w:color w:val="444444"/>
                      <w:sz w:val="18"/>
                      <w:szCs w:val="18"/>
                    </w:rPr>
                    <w:t>7.00%</w:t>
                  </w:r>
                </w:p>
              </w:tc>
              <w:tc>
                <w:tcPr>
                  <w:tcW w:w="1235" w:type="dxa"/>
                </w:tcPr>
                <w:p w14:paraId="77E91426" w14:textId="77777777" w:rsidR="003A4BA4" w:rsidRPr="00CA62C3" w:rsidRDefault="003A4BA4" w:rsidP="003653A4">
                  <w:pPr>
                    <w:spacing w:line="281" w:lineRule="atLeast"/>
                    <w:jc w:val="right"/>
                    <w:rPr>
                      <w:rFonts w:ascii="Arial" w:eastAsia="Times New Roman" w:hAnsi="Arial" w:cs="Arial"/>
                      <w:color w:val="444444"/>
                      <w:sz w:val="18"/>
                      <w:szCs w:val="18"/>
                    </w:rPr>
                  </w:pPr>
                  <w:r w:rsidRPr="00CA62C3">
                    <w:rPr>
                      <w:rFonts w:ascii="Arial" w:eastAsia="Times New Roman" w:hAnsi="Arial" w:cs="Arial"/>
                      <w:color w:val="444444"/>
                      <w:sz w:val="18"/>
                      <w:szCs w:val="18"/>
                    </w:rPr>
                    <w:t>42,000</w:t>
                  </w:r>
                </w:p>
              </w:tc>
            </w:tr>
            <w:tr w:rsidR="003A4BA4" w:rsidRPr="00CA62C3" w14:paraId="2890622A" w14:textId="77777777" w:rsidTr="003653A4">
              <w:tc>
                <w:tcPr>
                  <w:tcW w:w="1508" w:type="dxa"/>
                </w:tcPr>
                <w:p w14:paraId="5970A5DB" w14:textId="77777777" w:rsidR="003A4BA4" w:rsidRPr="00CA62C3" w:rsidRDefault="003A4BA4" w:rsidP="003653A4">
                  <w:pPr>
                    <w:spacing w:line="281" w:lineRule="atLeast"/>
                    <w:rPr>
                      <w:rFonts w:ascii="Arial" w:eastAsia="Times New Roman" w:hAnsi="Arial" w:cs="Arial"/>
                      <w:color w:val="444444"/>
                      <w:sz w:val="18"/>
                      <w:szCs w:val="18"/>
                    </w:rPr>
                  </w:pPr>
                  <w:r w:rsidRPr="00CA62C3">
                    <w:rPr>
                      <w:rFonts w:ascii="Arial" w:eastAsia="Times New Roman" w:hAnsi="Arial" w:cs="Arial"/>
                      <w:color w:val="444444"/>
                      <w:sz w:val="18"/>
                      <w:szCs w:val="18"/>
                    </w:rPr>
                    <w:t>Sum</w:t>
                  </w:r>
                </w:p>
              </w:tc>
              <w:tc>
                <w:tcPr>
                  <w:tcW w:w="1143" w:type="dxa"/>
                </w:tcPr>
                <w:p w14:paraId="5197B14D" w14:textId="77777777" w:rsidR="003A4BA4" w:rsidRPr="00CA62C3" w:rsidRDefault="003A4BA4" w:rsidP="003653A4">
                  <w:pPr>
                    <w:spacing w:line="281" w:lineRule="atLeast"/>
                    <w:jc w:val="right"/>
                    <w:rPr>
                      <w:rFonts w:ascii="Arial" w:eastAsia="Times New Roman" w:hAnsi="Arial" w:cs="Arial"/>
                      <w:color w:val="444444"/>
                      <w:sz w:val="18"/>
                      <w:szCs w:val="18"/>
                    </w:rPr>
                  </w:pPr>
                  <w:r w:rsidRPr="00CA62C3">
                    <w:rPr>
                      <w:rFonts w:ascii="Arial" w:eastAsia="Times New Roman" w:hAnsi="Arial" w:cs="Arial"/>
                      <w:color w:val="444444"/>
                      <w:sz w:val="18"/>
                      <w:szCs w:val="18"/>
                    </w:rPr>
                    <w:t>1,000,000</w:t>
                  </w:r>
                </w:p>
              </w:tc>
              <w:tc>
                <w:tcPr>
                  <w:tcW w:w="1059" w:type="dxa"/>
                </w:tcPr>
                <w:p w14:paraId="4379C2A5" w14:textId="77777777" w:rsidR="003A4BA4" w:rsidRPr="00CA62C3" w:rsidRDefault="003A4BA4" w:rsidP="003653A4">
                  <w:pPr>
                    <w:spacing w:line="281" w:lineRule="atLeast"/>
                    <w:rPr>
                      <w:rFonts w:ascii="Arial" w:eastAsia="Times New Roman" w:hAnsi="Arial" w:cs="Arial"/>
                      <w:color w:val="444444"/>
                      <w:sz w:val="18"/>
                      <w:szCs w:val="18"/>
                    </w:rPr>
                  </w:pPr>
                </w:p>
              </w:tc>
              <w:tc>
                <w:tcPr>
                  <w:tcW w:w="1235" w:type="dxa"/>
                </w:tcPr>
                <w:p w14:paraId="312D0E75" w14:textId="77777777" w:rsidR="003A4BA4" w:rsidRPr="00CA62C3" w:rsidRDefault="003A4BA4" w:rsidP="003653A4">
                  <w:pPr>
                    <w:spacing w:line="281" w:lineRule="atLeast"/>
                    <w:jc w:val="right"/>
                    <w:rPr>
                      <w:rFonts w:ascii="Arial" w:eastAsia="Times New Roman" w:hAnsi="Arial" w:cs="Arial"/>
                      <w:color w:val="444444"/>
                      <w:sz w:val="18"/>
                      <w:szCs w:val="18"/>
                    </w:rPr>
                  </w:pPr>
                  <w:r w:rsidRPr="00CA62C3">
                    <w:rPr>
                      <w:rFonts w:ascii="Arial" w:eastAsia="Times New Roman" w:hAnsi="Arial" w:cs="Arial"/>
                      <w:color w:val="444444"/>
                      <w:sz w:val="18"/>
                      <w:szCs w:val="18"/>
                    </w:rPr>
                    <w:t>63,000</w:t>
                  </w:r>
                </w:p>
              </w:tc>
            </w:tr>
            <w:tr w:rsidR="003A4BA4" w:rsidRPr="00CA62C3" w14:paraId="710EA23D" w14:textId="77777777" w:rsidTr="003653A4">
              <w:tc>
                <w:tcPr>
                  <w:tcW w:w="1508" w:type="dxa"/>
                </w:tcPr>
                <w:p w14:paraId="4612BFEC" w14:textId="77777777" w:rsidR="003A4BA4" w:rsidRPr="00CA62C3" w:rsidRDefault="003A4BA4" w:rsidP="003653A4">
                  <w:pPr>
                    <w:spacing w:line="281" w:lineRule="atLeast"/>
                    <w:rPr>
                      <w:rFonts w:ascii="Arial" w:eastAsia="Times New Roman" w:hAnsi="Arial" w:cs="Arial"/>
                      <w:color w:val="444444"/>
                      <w:sz w:val="18"/>
                      <w:szCs w:val="18"/>
                    </w:rPr>
                  </w:pPr>
                  <w:r w:rsidRPr="00CA62C3">
                    <w:rPr>
                      <w:rFonts w:ascii="Arial" w:eastAsia="Times New Roman" w:hAnsi="Arial" w:cs="Arial"/>
                      <w:color w:val="444444"/>
                      <w:sz w:val="18"/>
                      <w:szCs w:val="18"/>
                    </w:rPr>
                    <w:t>Total # Loans</w:t>
                  </w:r>
                </w:p>
              </w:tc>
              <w:tc>
                <w:tcPr>
                  <w:tcW w:w="1143" w:type="dxa"/>
                </w:tcPr>
                <w:p w14:paraId="58599255" w14:textId="77777777" w:rsidR="003A4BA4" w:rsidRPr="00CA62C3" w:rsidRDefault="003A4BA4" w:rsidP="003653A4">
                  <w:pPr>
                    <w:spacing w:line="281" w:lineRule="atLeast"/>
                    <w:rPr>
                      <w:rFonts w:ascii="Arial" w:eastAsia="Times New Roman" w:hAnsi="Arial" w:cs="Arial"/>
                      <w:color w:val="444444"/>
                      <w:sz w:val="18"/>
                      <w:szCs w:val="18"/>
                    </w:rPr>
                  </w:pPr>
                </w:p>
              </w:tc>
              <w:tc>
                <w:tcPr>
                  <w:tcW w:w="1059" w:type="dxa"/>
                </w:tcPr>
                <w:p w14:paraId="7F4F994C" w14:textId="77777777" w:rsidR="003A4BA4" w:rsidRPr="00CA62C3" w:rsidRDefault="003A4BA4" w:rsidP="003653A4">
                  <w:pPr>
                    <w:spacing w:line="281" w:lineRule="atLeast"/>
                    <w:rPr>
                      <w:rFonts w:ascii="Arial" w:eastAsia="Times New Roman" w:hAnsi="Arial" w:cs="Arial"/>
                      <w:color w:val="444444"/>
                      <w:sz w:val="18"/>
                      <w:szCs w:val="18"/>
                    </w:rPr>
                  </w:pPr>
                </w:p>
              </w:tc>
              <w:tc>
                <w:tcPr>
                  <w:tcW w:w="1235" w:type="dxa"/>
                </w:tcPr>
                <w:p w14:paraId="2BB8F152" w14:textId="77777777" w:rsidR="003A4BA4" w:rsidRPr="00CA62C3" w:rsidRDefault="003A4BA4" w:rsidP="003653A4">
                  <w:pPr>
                    <w:spacing w:line="281" w:lineRule="atLeast"/>
                    <w:rPr>
                      <w:rFonts w:ascii="Arial" w:eastAsia="Times New Roman" w:hAnsi="Arial" w:cs="Arial"/>
                      <w:color w:val="444444"/>
                      <w:sz w:val="18"/>
                      <w:szCs w:val="18"/>
                    </w:rPr>
                  </w:pPr>
                </w:p>
              </w:tc>
            </w:tr>
            <w:tr w:rsidR="003A4BA4" w:rsidRPr="00CA62C3" w14:paraId="04C8B8C1" w14:textId="77777777" w:rsidTr="003653A4">
              <w:tc>
                <w:tcPr>
                  <w:tcW w:w="1508" w:type="dxa"/>
                </w:tcPr>
                <w:p w14:paraId="5972FAFD" w14:textId="77777777" w:rsidR="003A4BA4" w:rsidRPr="00CA62C3" w:rsidRDefault="003A4BA4" w:rsidP="003653A4">
                  <w:pPr>
                    <w:spacing w:line="281" w:lineRule="atLeast"/>
                    <w:rPr>
                      <w:rFonts w:ascii="Arial" w:eastAsia="Times New Roman" w:hAnsi="Arial" w:cs="Arial"/>
                      <w:color w:val="444444"/>
                      <w:sz w:val="18"/>
                      <w:szCs w:val="18"/>
                    </w:rPr>
                  </w:pPr>
                  <w:r w:rsidRPr="00CA62C3">
                    <w:rPr>
                      <w:rFonts w:ascii="Arial" w:eastAsia="Times New Roman" w:hAnsi="Arial" w:cs="Arial"/>
                      <w:color w:val="444444"/>
                      <w:sz w:val="18"/>
                      <w:szCs w:val="18"/>
                    </w:rPr>
                    <w:t>Weighted Avg Yield (Sum of Int Amt / Sum of Avg Balances)</w:t>
                  </w:r>
                </w:p>
              </w:tc>
              <w:tc>
                <w:tcPr>
                  <w:tcW w:w="1143" w:type="dxa"/>
                </w:tcPr>
                <w:p w14:paraId="2B13AD6E" w14:textId="77777777" w:rsidR="003A4BA4" w:rsidRPr="00CA62C3" w:rsidRDefault="003A4BA4" w:rsidP="003653A4">
                  <w:pPr>
                    <w:spacing w:line="281" w:lineRule="atLeast"/>
                    <w:rPr>
                      <w:rFonts w:ascii="Arial" w:eastAsia="Times New Roman" w:hAnsi="Arial" w:cs="Arial"/>
                      <w:color w:val="444444"/>
                      <w:sz w:val="18"/>
                      <w:szCs w:val="18"/>
                    </w:rPr>
                  </w:pPr>
                </w:p>
              </w:tc>
              <w:tc>
                <w:tcPr>
                  <w:tcW w:w="1059" w:type="dxa"/>
                </w:tcPr>
                <w:p w14:paraId="2CF10F8E" w14:textId="77777777" w:rsidR="003A4BA4" w:rsidRPr="00CA62C3" w:rsidRDefault="003A4BA4" w:rsidP="003653A4">
                  <w:pPr>
                    <w:spacing w:line="281" w:lineRule="atLeast"/>
                    <w:rPr>
                      <w:rFonts w:ascii="Arial" w:eastAsia="Times New Roman" w:hAnsi="Arial" w:cs="Arial"/>
                      <w:color w:val="444444"/>
                      <w:sz w:val="18"/>
                      <w:szCs w:val="18"/>
                    </w:rPr>
                  </w:pPr>
                </w:p>
              </w:tc>
              <w:tc>
                <w:tcPr>
                  <w:tcW w:w="1235" w:type="dxa"/>
                </w:tcPr>
                <w:p w14:paraId="36EE9613" w14:textId="77777777" w:rsidR="003A4BA4" w:rsidRDefault="003A4BA4" w:rsidP="003653A4">
                  <w:pPr>
                    <w:spacing w:line="281" w:lineRule="atLeast"/>
                    <w:rPr>
                      <w:rFonts w:ascii="Arial" w:eastAsia="Times New Roman" w:hAnsi="Arial" w:cs="Arial"/>
                      <w:b/>
                      <w:bCs/>
                      <w:color w:val="444444"/>
                      <w:sz w:val="18"/>
                      <w:szCs w:val="18"/>
                    </w:rPr>
                  </w:pPr>
                </w:p>
                <w:p w14:paraId="7A00286C" w14:textId="77777777" w:rsidR="003A4BA4" w:rsidRDefault="003A4BA4" w:rsidP="003653A4">
                  <w:pPr>
                    <w:spacing w:line="281" w:lineRule="atLeast"/>
                    <w:rPr>
                      <w:rFonts w:ascii="Arial" w:eastAsia="Times New Roman" w:hAnsi="Arial" w:cs="Arial"/>
                      <w:b/>
                      <w:bCs/>
                      <w:color w:val="444444"/>
                      <w:sz w:val="18"/>
                      <w:szCs w:val="18"/>
                    </w:rPr>
                  </w:pPr>
                </w:p>
                <w:p w14:paraId="731BA90C" w14:textId="77777777" w:rsidR="003A4BA4" w:rsidRDefault="003A4BA4" w:rsidP="003653A4">
                  <w:pPr>
                    <w:spacing w:line="281" w:lineRule="atLeast"/>
                    <w:rPr>
                      <w:rFonts w:ascii="Arial" w:eastAsia="Times New Roman" w:hAnsi="Arial" w:cs="Arial"/>
                      <w:b/>
                      <w:bCs/>
                      <w:color w:val="444444"/>
                      <w:sz w:val="18"/>
                      <w:szCs w:val="18"/>
                    </w:rPr>
                  </w:pPr>
                </w:p>
                <w:p w14:paraId="07312E45" w14:textId="77777777" w:rsidR="003A4BA4" w:rsidRPr="00CA62C3" w:rsidRDefault="003A4BA4" w:rsidP="003653A4">
                  <w:pPr>
                    <w:spacing w:line="281" w:lineRule="atLeast"/>
                    <w:jc w:val="right"/>
                    <w:rPr>
                      <w:rFonts w:ascii="Arial" w:eastAsia="Times New Roman" w:hAnsi="Arial" w:cs="Arial"/>
                      <w:b/>
                      <w:bCs/>
                      <w:color w:val="444444"/>
                      <w:sz w:val="18"/>
                      <w:szCs w:val="18"/>
                    </w:rPr>
                  </w:pPr>
                  <w:r w:rsidRPr="00CA62C3">
                    <w:rPr>
                      <w:rFonts w:ascii="Arial" w:eastAsia="Times New Roman" w:hAnsi="Arial" w:cs="Arial"/>
                      <w:b/>
                      <w:bCs/>
                      <w:color w:val="444444"/>
                      <w:sz w:val="18"/>
                      <w:szCs w:val="18"/>
                    </w:rPr>
                    <w:t>6.30%</w:t>
                  </w:r>
                </w:p>
              </w:tc>
            </w:tr>
          </w:tbl>
          <w:p w14:paraId="2364739F" w14:textId="77777777" w:rsidR="003A4BA4" w:rsidRPr="00830C39" w:rsidRDefault="003A4BA4" w:rsidP="003653A4">
            <w:pPr>
              <w:tabs>
                <w:tab w:val="left" w:pos="8759"/>
              </w:tabs>
              <w:spacing w:after="0" w:line="240" w:lineRule="auto"/>
              <w:ind w:left="-900" w:hanging="35"/>
              <w:jc w:val="center"/>
              <w:rPr>
                <w:rFonts w:ascii="Arial" w:eastAsia="Times New Roman" w:hAnsi="Arial" w:cs="Arial"/>
                <w:color w:val="444444"/>
                <w:sz w:val="2"/>
                <w:szCs w:val="2"/>
              </w:rPr>
            </w:pPr>
          </w:p>
        </w:tc>
        <w:tc>
          <w:tcPr>
            <w:tcW w:w="0" w:type="auto"/>
          </w:tcPr>
          <w:p w14:paraId="5FB45461" w14:textId="77777777" w:rsidR="003A4BA4" w:rsidRPr="00830C39" w:rsidRDefault="003A4BA4" w:rsidP="003653A4">
            <w:pPr>
              <w:spacing w:after="0" w:line="240" w:lineRule="auto"/>
              <w:jc w:val="center"/>
              <w:rPr>
                <w:rFonts w:ascii="Arial" w:eastAsia="Times New Roman" w:hAnsi="Arial" w:cs="Arial"/>
                <w:color w:val="444444"/>
                <w:sz w:val="2"/>
                <w:szCs w:val="2"/>
              </w:rPr>
            </w:pPr>
          </w:p>
        </w:tc>
      </w:tr>
      <w:tr w:rsidR="003A4BA4" w:rsidRPr="00830C39" w14:paraId="3BFA5D9F" w14:textId="77777777" w:rsidTr="003653A4">
        <w:tc>
          <w:tcPr>
            <w:tcW w:w="4997" w:type="pct"/>
            <w:tcMar>
              <w:top w:w="150" w:type="dxa"/>
              <w:left w:w="300" w:type="dxa"/>
              <w:bottom w:w="150" w:type="dxa"/>
              <w:right w:w="300" w:type="dxa"/>
            </w:tcMar>
          </w:tcPr>
          <w:p w14:paraId="7B39EECD" w14:textId="77777777" w:rsidR="003A4BA4" w:rsidRDefault="003A4BA4" w:rsidP="003653A4">
            <w:pPr>
              <w:spacing w:after="0" w:line="240" w:lineRule="auto"/>
              <w:jc w:val="center"/>
              <w:rPr>
                <w:rFonts w:ascii="Arial" w:eastAsia="Times New Roman" w:hAnsi="Arial" w:cs="Arial"/>
                <w:noProof/>
                <w:color w:val="444444"/>
                <w:sz w:val="2"/>
                <w:szCs w:val="2"/>
              </w:rPr>
            </w:pPr>
          </w:p>
          <w:p w14:paraId="788B1B6A" w14:textId="77777777" w:rsidR="003A4BA4" w:rsidRPr="00830C39" w:rsidRDefault="003A4BA4" w:rsidP="003653A4">
            <w:pPr>
              <w:spacing w:after="0" w:line="240" w:lineRule="auto"/>
              <w:jc w:val="center"/>
              <w:rPr>
                <w:rFonts w:ascii="Arial" w:eastAsia="Times New Roman" w:hAnsi="Arial" w:cs="Arial"/>
                <w:noProof/>
                <w:color w:val="444444"/>
                <w:sz w:val="2"/>
                <w:szCs w:val="2"/>
              </w:rPr>
            </w:pPr>
          </w:p>
        </w:tc>
        <w:tc>
          <w:tcPr>
            <w:tcW w:w="0" w:type="auto"/>
          </w:tcPr>
          <w:p w14:paraId="0BA7B5E9" w14:textId="77777777" w:rsidR="003A4BA4" w:rsidRDefault="003A4BA4" w:rsidP="003653A4">
            <w:pPr>
              <w:spacing w:after="0" w:line="240" w:lineRule="auto"/>
              <w:jc w:val="center"/>
              <w:rPr>
                <w:rFonts w:ascii="Arial" w:eastAsia="Times New Roman" w:hAnsi="Arial" w:cs="Arial"/>
                <w:noProof/>
                <w:color w:val="444444"/>
                <w:sz w:val="2"/>
                <w:szCs w:val="2"/>
              </w:rPr>
            </w:pPr>
          </w:p>
        </w:tc>
      </w:tr>
      <w:tr w:rsidR="003A4BA4" w:rsidRPr="00830C39" w14:paraId="5247CAF7" w14:textId="77777777" w:rsidTr="003653A4">
        <w:tblPrEx>
          <w:shd w:val="clear" w:color="auto" w:fill="FFFFFF"/>
        </w:tblPrEx>
        <w:tc>
          <w:tcPr>
            <w:tcW w:w="4997" w:type="pct"/>
            <w:shd w:val="clear" w:color="auto" w:fill="FFFFFF"/>
            <w:tcMar>
              <w:top w:w="150" w:type="dxa"/>
              <w:left w:w="300" w:type="dxa"/>
              <w:bottom w:w="0" w:type="dxa"/>
              <w:right w:w="300" w:type="dxa"/>
            </w:tcMar>
            <w:vAlign w:val="center"/>
            <w:hideMark/>
          </w:tcPr>
          <w:p w14:paraId="0EE67C86" w14:textId="77777777" w:rsidR="003A4BA4" w:rsidRPr="00EC3ED1" w:rsidRDefault="003A4BA4" w:rsidP="003A4BA4">
            <w:pPr>
              <w:pStyle w:val="ListParagraph"/>
              <w:numPr>
                <w:ilvl w:val="0"/>
                <w:numId w:val="70"/>
              </w:numPr>
              <w:spacing w:before="100" w:beforeAutospacing="1" w:after="100" w:afterAutospacing="1" w:line="281" w:lineRule="atLeast"/>
              <w:rPr>
                <w:rFonts w:ascii="Arial" w:eastAsia="Times New Roman" w:hAnsi="Arial" w:cs="Arial"/>
                <w:color w:val="444444"/>
                <w:sz w:val="23"/>
                <w:szCs w:val="23"/>
              </w:rPr>
            </w:pPr>
            <w:r w:rsidRPr="00EC3ED1">
              <w:rPr>
                <w:rFonts w:ascii="Arial" w:eastAsia="Times New Roman" w:hAnsi="Arial" w:cs="Arial"/>
                <w:color w:val="444444"/>
                <w:sz w:val="23"/>
                <w:szCs w:val="23"/>
              </w:rPr>
              <w:t>Average Yield may not fully reflect the impact of different loans in the portfolio, especially if loan sizes vary significantly</w:t>
            </w:r>
            <w:r>
              <w:rPr>
                <w:rFonts w:ascii="Arial" w:eastAsia="Times New Roman" w:hAnsi="Arial" w:cs="Arial"/>
                <w:color w:val="444444"/>
                <w:sz w:val="23"/>
                <w:szCs w:val="23"/>
              </w:rPr>
              <w:br/>
            </w:r>
          </w:p>
          <w:p w14:paraId="3B43D967" w14:textId="77777777" w:rsidR="003A4BA4" w:rsidRPr="00EC3ED1" w:rsidRDefault="003A4BA4" w:rsidP="003A4BA4">
            <w:pPr>
              <w:pStyle w:val="ListParagraph"/>
              <w:numPr>
                <w:ilvl w:val="0"/>
                <w:numId w:val="70"/>
              </w:numPr>
              <w:spacing w:before="100" w:beforeAutospacing="1" w:after="0" w:afterAutospacing="1" w:line="281" w:lineRule="atLeast"/>
              <w:rPr>
                <w:rFonts w:ascii="Arial" w:eastAsia="Times New Roman" w:hAnsi="Arial" w:cs="Arial"/>
                <w:color w:val="444444"/>
                <w:sz w:val="23"/>
                <w:szCs w:val="23"/>
              </w:rPr>
            </w:pPr>
            <w:r w:rsidRPr="00EC3ED1">
              <w:rPr>
                <w:rFonts w:ascii="Arial" w:eastAsia="Times New Roman" w:hAnsi="Arial" w:cs="Arial"/>
                <w:color w:val="444444"/>
                <w:sz w:val="23"/>
                <w:szCs w:val="23"/>
              </w:rPr>
              <w:t>In contrast, Weighted Average Yield considers the size of each loan, making it more sensitive to the yields of larger loans</w:t>
            </w:r>
          </w:p>
          <w:p w14:paraId="34F80B27" w14:textId="77777777" w:rsidR="003A4BA4" w:rsidRPr="00830C39" w:rsidRDefault="003A4BA4" w:rsidP="003653A4">
            <w:pPr>
              <w:spacing w:after="0" w:line="281" w:lineRule="atLeast"/>
              <w:ind w:left="782"/>
              <w:rPr>
                <w:rFonts w:ascii="Arial" w:eastAsia="Times New Roman" w:hAnsi="Arial" w:cs="Arial"/>
                <w:color w:val="444444"/>
                <w:sz w:val="23"/>
                <w:szCs w:val="23"/>
              </w:rPr>
            </w:pPr>
            <w:r w:rsidRPr="00830C39">
              <w:rPr>
                <w:rFonts w:ascii="Arial" w:eastAsia="Times New Roman" w:hAnsi="Arial" w:cs="Arial"/>
                <w:color w:val="444444"/>
                <w:sz w:val="23"/>
                <w:szCs w:val="23"/>
              </w:rPr>
              <w:t>As you can see in this example, the weighted average yield is higher than the simple average yield. This is due to Loan C having the highest yield and the largest balance, which has a greater impact on the weighted average than the simple average.</w:t>
            </w:r>
          </w:p>
          <w:p w14:paraId="2AD09CA1" w14:textId="77777777" w:rsidR="003A4BA4" w:rsidRPr="00830C39" w:rsidRDefault="003A4BA4" w:rsidP="003653A4">
            <w:pPr>
              <w:spacing w:after="0" w:line="281" w:lineRule="atLeast"/>
              <w:ind w:left="782"/>
              <w:rPr>
                <w:rFonts w:ascii="Arial" w:eastAsia="Times New Roman" w:hAnsi="Arial" w:cs="Arial"/>
                <w:color w:val="444444"/>
                <w:sz w:val="23"/>
                <w:szCs w:val="23"/>
              </w:rPr>
            </w:pPr>
            <w:r w:rsidRPr="00830C39">
              <w:rPr>
                <w:rFonts w:ascii="Arial" w:eastAsia="Times New Roman" w:hAnsi="Arial" w:cs="Arial"/>
                <w:color w:val="444444"/>
                <w:sz w:val="23"/>
                <w:szCs w:val="23"/>
              </w:rPr>
              <w:t> </w:t>
            </w:r>
          </w:p>
          <w:p w14:paraId="20158E94" w14:textId="77777777" w:rsidR="003A4BA4" w:rsidRPr="00830C39" w:rsidRDefault="003A4BA4" w:rsidP="003653A4">
            <w:pPr>
              <w:spacing w:after="0" w:line="244" w:lineRule="atLeast"/>
              <w:ind w:left="782"/>
              <w:rPr>
                <w:rFonts w:ascii="Arial" w:eastAsia="Times New Roman" w:hAnsi="Arial" w:cs="Arial"/>
                <w:color w:val="444444"/>
                <w:sz w:val="20"/>
                <w:szCs w:val="20"/>
              </w:rPr>
            </w:pPr>
            <w:r w:rsidRPr="00830C39">
              <w:rPr>
                <w:rFonts w:ascii="Arial" w:eastAsia="Times New Roman" w:hAnsi="Arial" w:cs="Arial"/>
                <w:i/>
                <w:iCs/>
                <w:color w:val="444444"/>
                <w:sz w:val="20"/>
                <w:szCs w:val="20"/>
              </w:rPr>
              <w:t>Weighted values are generally provided for you through your core loan application.</w:t>
            </w:r>
          </w:p>
          <w:p w14:paraId="760B7F2E" w14:textId="77777777" w:rsidR="003A4BA4" w:rsidRPr="00830C39" w:rsidRDefault="003A4BA4" w:rsidP="003653A4">
            <w:pPr>
              <w:spacing w:after="0" w:line="244" w:lineRule="atLeast"/>
              <w:ind w:left="782"/>
              <w:rPr>
                <w:rFonts w:ascii="Arial" w:eastAsia="Times New Roman" w:hAnsi="Arial" w:cs="Arial"/>
                <w:color w:val="444444"/>
                <w:sz w:val="20"/>
                <w:szCs w:val="20"/>
              </w:rPr>
            </w:pPr>
            <w:r w:rsidRPr="00830C39">
              <w:rPr>
                <w:rFonts w:ascii="Arial" w:eastAsia="Times New Roman" w:hAnsi="Arial" w:cs="Arial"/>
                <w:color w:val="444444"/>
                <w:sz w:val="20"/>
                <w:szCs w:val="20"/>
              </w:rPr>
              <w:t> </w:t>
            </w:r>
          </w:p>
        </w:tc>
        <w:tc>
          <w:tcPr>
            <w:tcW w:w="0" w:type="auto"/>
            <w:shd w:val="clear" w:color="auto" w:fill="FFFFFF"/>
          </w:tcPr>
          <w:p w14:paraId="321B097D" w14:textId="77777777" w:rsidR="003A4BA4" w:rsidRPr="008D129A" w:rsidRDefault="003A4BA4" w:rsidP="003A4BA4">
            <w:pPr>
              <w:pStyle w:val="ListParagraph"/>
              <w:numPr>
                <w:ilvl w:val="0"/>
                <w:numId w:val="69"/>
              </w:numPr>
              <w:spacing w:before="100" w:beforeAutospacing="1" w:after="100" w:afterAutospacing="1" w:line="281" w:lineRule="atLeast"/>
              <w:rPr>
                <w:rFonts w:ascii="Arial" w:eastAsia="Times New Roman" w:hAnsi="Arial" w:cs="Arial"/>
                <w:color w:val="444444"/>
                <w:sz w:val="23"/>
                <w:szCs w:val="23"/>
              </w:rPr>
            </w:pPr>
          </w:p>
        </w:tc>
      </w:tr>
    </w:tbl>
    <w:p w14:paraId="298754E9" w14:textId="77777777" w:rsidR="003A4BA4" w:rsidRPr="00F07B9A" w:rsidRDefault="003A4BA4" w:rsidP="00F07B9A">
      <w:pPr>
        <w:spacing w:after="0"/>
        <w:rPr>
          <w:rFonts w:cstheme="minorHAnsi"/>
          <w:color w:val="414142"/>
        </w:rPr>
      </w:pPr>
    </w:p>
    <w:sectPr w:rsidR="003A4BA4" w:rsidRPr="00F07B9A" w:rsidSect="00A13AB6">
      <w:footerReference w:type="default" r:id="rId11"/>
      <w:pgSz w:w="12240" w:h="15840"/>
      <w:pgMar w:top="720" w:right="720" w:bottom="720" w:left="1350" w:header="465" w:footer="43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C4B86A" w14:textId="77777777" w:rsidR="00FD280F" w:rsidRDefault="00FD280F" w:rsidP="00E727FA">
      <w:pPr>
        <w:spacing w:after="0" w:line="240" w:lineRule="auto"/>
      </w:pPr>
      <w:r>
        <w:separator/>
      </w:r>
    </w:p>
  </w:endnote>
  <w:endnote w:type="continuationSeparator" w:id="0">
    <w:p w14:paraId="4CBE3DF7" w14:textId="77777777" w:rsidR="00FD280F" w:rsidRDefault="00FD280F" w:rsidP="00E72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4AA35" w14:textId="319C17D8" w:rsidR="00AF6CD3" w:rsidRPr="001803A2" w:rsidRDefault="001803A2" w:rsidP="001803A2">
    <w:pPr>
      <w:pStyle w:val="Footer"/>
    </w:pPr>
    <w:r>
      <w:t>RiskGPS: Users’ Guide April 2025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0D1E6D" w14:textId="6E468F3F" w:rsidR="00A13AB6" w:rsidRPr="001803A2" w:rsidRDefault="00A13AB6" w:rsidP="001803A2">
    <w:pPr>
      <w:pStyle w:val="Footer"/>
    </w:pPr>
    <w:r>
      <w:t>RiskGPS: Back testing Summary 2025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B42E61" w14:textId="46AAA945" w:rsidR="00AF6CD3" w:rsidRDefault="00A13AB6" w:rsidP="002311BB">
    <w:pPr>
      <w:pStyle w:val="Footer"/>
    </w:pPr>
    <w:r>
      <w:rPr>
        <w:rFonts w:cstheme="minorHAnsi"/>
      </w:rPr>
      <w:t>RiskGPS: Strategy Bank Sample Report April 2025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2CCC98" w14:textId="674AEA0C" w:rsidR="003A4BA4" w:rsidRDefault="003A4BA4" w:rsidP="002311BB">
    <w:pPr>
      <w:pStyle w:val="Footer"/>
    </w:pPr>
    <w:r>
      <w:rPr>
        <w:rFonts w:cstheme="minorHAnsi"/>
      </w:rPr>
      <w:t>RiskGPS: Weighted Average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6DE37E" w14:textId="77777777" w:rsidR="00FD280F" w:rsidRDefault="00FD280F" w:rsidP="00E727FA">
      <w:pPr>
        <w:spacing w:after="0" w:line="240" w:lineRule="auto"/>
      </w:pPr>
      <w:r>
        <w:separator/>
      </w:r>
    </w:p>
  </w:footnote>
  <w:footnote w:type="continuationSeparator" w:id="0">
    <w:p w14:paraId="1A316482" w14:textId="77777777" w:rsidR="00FD280F" w:rsidRDefault="00FD280F" w:rsidP="00E727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59BEC9" w14:textId="77777777" w:rsidR="00AF6CD3" w:rsidRDefault="00AF6CD3">
    <w:pPr>
      <w:spacing w:line="2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24B18"/>
    <w:multiLevelType w:val="hybridMultilevel"/>
    <w:tmpl w:val="162AC9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D1407"/>
    <w:multiLevelType w:val="hybridMultilevel"/>
    <w:tmpl w:val="21EA76D6"/>
    <w:lvl w:ilvl="0" w:tplc="04090015">
      <w:start w:val="1"/>
      <w:numFmt w:val="upp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15:restartNumberingAfterBreak="0">
    <w:nsid w:val="06ED5A0D"/>
    <w:multiLevelType w:val="multilevel"/>
    <w:tmpl w:val="C8FC1E2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 w15:restartNumberingAfterBreak="0">
    <w:nsid w:val="070B5C17"/>
    <w:multiLevelType w:val="hybridMultilevel"/>
    <w:tmpl w:val="CDA85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FC6CAB"/>
    <w:multiLevelType w:val="multilevel"/>
    <w:tmpl w:val="714C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2364B9"/>
    <w:multiLevelType w:val="hybridMultilevel"/>
    <w:tmpl w:val="2BE8A808"/>
    <w:lvl w:ilvl="0" w:tplc="AC62AFF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5C55ED"/>
    <w:multiLevelType w:val="hybridMultilevel"/>
    <w:tmpl w:val="75163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E86279"/>
    <w:multiLevelType w:val="hybridMultilevel"/>
    <w:tmpl w:val="5AFCE0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2D6791"/>
    <w:multiLevelType w:val="hybridMultilevel"/>
    <w:tmpl w:val="E7984882"/>
    <w:lvl w:ilvl="0" w:tplc="FF40E7B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E973CB"/>
    <w:multiLevelType w:val="hybridMultilevel"/>
    <w:tmpl w:val="E2380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F064FE"/>
    <w:multiLevelType w:val="hybridMultilevel"/>
    <w:tmpl w:val="EA320E74"/>
    <w:lvl w:ilvl="0" w:tplc="0A02468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4D4EFF"/>
    <w:multiLevelType w:val="hybridMultilevel"/>
    <w:tmpl w:val="BE5EA632"/>
    <w:lvl w:ilvl="0" w:tplc="8DC2AFB8">
      <w:start w:val="1"/>
      <w:numFmt w:val="upperLetter"/>
      <w:lvlText w:val="%1."/>
      <w:lvlJc w:val="left"/>
      <w:pPr>
        <w:ind w:left="13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65310D"/>
    <w:multiLevelType w:val="hybridMultilevel"/>
    <w:tmpl w:val="BCA0F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BF29A1"/>
    <w:multiLevelType w:val="hybridMultilevel"/>
    <w:tmpl w:val="250E17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D046A5"/>
    <w:multiLevelType w:val="hybridMultilevel"/>
    <w:tmpl w:val="E4B6D1DC"/>
    <w:lvl w:ilvl="0" w:tplc="458679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435EF0"/>
    <w:multiLevelType w:val="hybridMultilevel"/>
    <w:tmpl w:val="D2209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6E8699A"/>
    <w:multiLevelType w:val="hybridMultilevel"/>
    <w:tmpl w:val="6E80AA12"/>
    <w:lvl w:ilvl="0" w:tplc="0356745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8CF685F"/>
    <w:multiLevelType w:val="hybridMultilevel"/>
    <w:tmpl w:val="602E4DAE"/>
    <w:lvl w:ilvl="0" w:tplc="6FBCD896">
      <w:start w:val="1"/>
      <w:numFmt w:val="bullet"/>
      <w:lvlText w:val="•"/>
      <w:lvlJc w:val="left"/>
      <w:pPr>
        <w:tabs>
          <w:tab w:val="num" w:pos="720"/>
        </w:tabs>
        <w:ind w:left="720" w:hanging="360"/>
      </w:pPr>
      <w:rPr>
        <w:rFonts w:ascii="Arial" w:hAnsi="Arial" w:hint="default"/>
      </w:rPr>
    </w:lvl>
    <w:lvl w:ilvl="1" w:tplc="7608A5F8" w:tentative="1">
      <w:start w:val="1"/>
      <w:numFmt w:val="bullet"/>
      <w:lvlText w:val="•"/>
      <w:lvlJc w:val="left"/>
      <w:pPr>
        <w:tabs>
          <w:tab w:val="num" w:pos="1440"/>
        </w:tabs>
        <w:ind w:left="1440" w:hanging="360"/>
      </w:pPr>
      <w:rPr>
        <w:rFonts w:ascii="Arial" w:hAnsi="Arial" w:hint="default"/>
      </w:rPr>
    </w:lvl>
    <w:lvl w:ilvl="2" w:tplc="B3DA2EE8" w:tentative="1">
      <w:start w:val="1"/>
      <w:numFmt w:val="bullet"/>
      <w:lvlText w:val="•"/>
      <w:lvlJc w:val="left"/>
      <w:pPr>
        <w:tabs>
          <w:tab w:val="num" w:pos="2160"/>
        </w:tabs>
        <w:ind w:left="2160" w:hanging="360"/>
      </w:pPr>
      <w:rPr>
        <w:rFonts w:ascii="Arial" w:hAnsi="Arial" w:hint="default"/>
      </w:rPr>
    </w:lvl>
    <w:lvl w:ilvl="3" w:tplc="EC4246DE" w:tentative="1">
      <w:start w:val="1"/>
      <w:numFmt w:val="bullet"/>
      <w:lvlText w:val="•"/>
      <w:lvlJc w:val="left"/>
      <w:pPr>
        <w:tabs>
          <w:tab w:val="num" w:pos="2880"/>
        </w:tabs>
        <w:ind w:left="2880" w:hanging="360"/>
      </w:pPr>
      <w:rPr>
        <w:rFonts w:ascii="Arial" w:hAnsi="Arial" w:hint="default"/>
      </w:rPr>
    </w:lvl>
    <w:lvl w:ilvl="4" w:tplc="092AD4E6" w:tentative="1">
      <w:start w:val="1"/>
      <w:numFmt w:val="bullet"/>
      <w:lvlText w:val="•"/>
      <w:lvlJc w:val="left"/>
      <w:pPr>
        <w:tabs>
          <w:tab w:val="num" w:pos="3600"/>
        </w:tabs>
        <w:ind w:left="3600" w:hanging="360"/>
      </w:pPr>
      <w:rPr>
        <w:rFonts w:ascii="Arial" w:hAnsi="Arial" w:hint="default"/>
      </w:rPr>
    </w:lvl>
    <w:lvl w:ilvl="5" w:tplc="0870F6C4" w:tentative="1">
      <w:start w:val="1"/>
      <w:numFmt w:val="bullet"/>
      <w:lvlText w:val="•"/>
      <w:lvlJc w:val="left"/>
      <w:pPr>
        <w:tabs>
          <w:tab w:val="num" w:pos="4320"/>
        </w:tabs>
        <w:ind w:left="4320" w:hanging="360"/>
      </w:pPr>
      <w:rPr>
        <w:rFonts w:ascii="Arial" w:hAnsi="Arial" w:hint="default"/>
      </w:rPr>
    </w:lvl>
    <w:lvl w:ilvl="6" w:tplc="71B0C832" w:tentative="1">
      <w:start w:val="1"/>
      <w:numFmt w:val="bullet"/>
      <w:lvlText w:val="•"/>
      <w:lvlJc w:val="left"/>
      <w:pPr>
        <w:tabs>
          <w:tab w:val="num" w:pos="5040"/>
        </w:tabs>
        <w:ind w:left="5040" w:hanging="360"/>
      </w:pPr>
      <w:rPr>
        <w:rFonts w:ascii="Arial" w:hAnsi="Arial" w:hint="default"/>
      </w:rPr>
    </w:lvl>
    <w:lvl w:ilvl="7" w:tplc="9D8C9E7E" w:tentative="1">
      <w:start w:val="1"/>
      <w:numFmt w:val="bullet"/>
      <w:lvlText w:val="•"/>
      <w:lvlJc w:val="left"/>
      <w:pPr>
        <w:tabs>
          <w:tab w:val="num" w:pos="5760"/>
        </w:tabs>
        <w:ind w:left="5760" w:hanging="360"/>
      </w:pPr>
      <w:rPr>
        <w:rFonts w:ascii="Arial" w:hAnsi="Arial" w:hint="default"/>
      </w:rPr>
    </w:lvl>
    <w:lvl w:ilvl="8" w:tplc="F580DD9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1C4F4526"/>
    <w:multiLevelType w:val="hybridMultilevel"/>
    <w:tmpl w:val="843ECA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D1C7331"/>
    <w:multiLevelType w:val="hybridMultilevel"/>
    <w:tmpl w:val="F7422F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02260E6"/>
    <w:multiLevelType w:val="hybridMultilevel"/>
    <w:tmpl w:val="1FF6A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0E4091F"/>
    <w:multiLevelType w:val="hybridMultilevel"/>
    <w:tmpl w:val="36B645AA"/>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41E3CE9"/>
    <w:multiLevelType w:val="hybridMultilevel"/>
    <w:tmpl w:val="12E42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7C141D7"/>
    <w:multiLevelType w:val="hybridMultilevel"/>
    <w:tmpl w:val="8348C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8114805"/>
    <w:multiLevelType w:val="hybridMultilevel"/>
    <w:tmpl w:val="586C8C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9346F98"/>
    <w:multiLevelType w:val="hybridMultilevel"/>
    <w:tmpl w:val="8BEE8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BAE617D"/>
    <w:multiLevelType w:val="hybridMultilevel"/>
    <w:tmpl w:val="7AFEFA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C5574E5"/>
    <w:multiLevelType w:val="hybridMultilevel"/>
    <w:tmpl w:val="41501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CE93075"/>
    <w:multiLevelType w:val="hybridMultilevel"/>
    <w:tmpl w:val="443630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24F8"/>
    <w:multiLevelType w:val="hybridMultilevel"/>
    <w:tmpl w:val="1E50411A"/>
    <w:lvl w:ilvl="0" w:tplc="07A0C2E4">
      <w:start w:val="1"/>
      <w:numFmt w:val="low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EF81178"/>
    <w:multiLevelType w:val="hybridMultilevel"/>
    <w:tmpl w:val="1C8CA858"/>
    <w:lvl w:ilvl="0" w:tplc="04090001">
      <w:start w:val="1"/>
      <w:numFmt w:val="bullet"/>
      <w:lvlText w:val=""/>
      <w:lvlJc w:val="left"/>
      <w:pPr>
        <w:ind w:left="1502" w:hanging="360"/>
      </w:pPr>
      <w:rPr>
        <w:rFonts w:ascii="Symbol" w:hAnsi="Symbol" w:hint="default"/>
      </w:rPr>
    </w:lvl>
    <w:lvl w:ilvl="1" w:tplc="04090003" w:tentative="1">
      <w:start w:val="1"/>
      <w:numFmt w:val="bullet"/>
      <w:lvlText w:val="o"/>
      <w:lvlJc w:val="left"/>
      <w:pPr>
        <w:ind w:left="2222" w:hanging="360"/>
      </w:pPr>
      <w:rPr>
        <w:rFonts w:ascii="Courier New" w:hAnsi="Courier New" w:cs="Courier New" w:hint="default"/>
      </w:rPr>
    </w:lvl>
    <w:lvl w:ilvl="2" w:tplc="04090005" w:tentative="1">
      <w:start w:val="1"/>
      <w:numFmt w:val="bullet"/>
      <w:lvlText w:val=""/>
      <w:lvlJc w:val="left"/>
      <w:pPr>
        <w:ind w:left="2942" w:hanging="360"/>
      </w:pPr>
      <w:rPr>
        <w:rFonts w:ascii="Wingdings" w:hAnsi="Wingdings" w:hint="default"/>
      </w:rPr>
    </w:lvl>
    <w:lvl w:ilvl="3" w:tplc="04090001" w:tentative="1">
      <w:start w:val="1"/>
      <w:numFmt w:val="bullet"/>
      <w:lvlText w:val=""/>
      <w:lvlJc w:val="left"/>
      <w:pPr>
        <w:ind w:left="3662" w:hanging="360"/>
      </w:pPr>
      <w:rPr>
        <w:rFonts w:ascii="Symbol" w:hAnsi="Symbol" w:hint="default"/>
      </w:rPr>
    </w:lvl>
    <w:lvl w:ilvl="4" w:tplc="04090003" w:tentative="1">
      <w:start w:val="1"/>
      <w:numFmt w:val="bullet"/>
      <w:lvlText w:val="o"/>
      <w:lvlJc w:val="left"/>
      <w:pPr>
        <w:ind w:left="4382" w:hanging="360"/>
      </w:pPr>
      <w:rPr>
        <w:rFonts w:ascii="Courier New" w:hAnsi="Courier New" w:cs="Courier New" w:hint="default"/>
      </w:rPr>
    </w:lvl>
    <w:lvl w:ilvl="5" w:tplc="04090005" w:tentative="1">
      <w:start w:val="1"/>
      <w:numFmt w:val="bullet"/>
      <w:lvlText w:val=""/>
      <w:lvlJc w:val="left"/>
      <w:pPr>
        <w:ind w:left="5102" w:hanging="360"/>
      </w:pPr>
      <w:rPr>
        <w:rFonts w:ascii="Wingdings" w:hAnsi="Wingdings" w:hint="default"/>
      </w:rPr>
    </w:lvl>
    <w:lvl w:ilvl="6" w:tplc="04090001" w:tentative="1">
      <w:start w:val="1"/>
      <w:numFmt w:val="bullet"/>
      <w:lvlText w:val=""/>
      <w:lvlJc w:val="left"/>
      <w:pPr>
        <w:ind w:left="5822" w:hanging="360"/>
      </w:pPr>
      <w:rPr>
        <w:rFonts w:ascii="Symbol" w:hAnsi="Symbol" w:hint="default"/>
      </w:rPr>
    </w:lvl>
    <w:lvl w:ilvl="7" w:tplc="04090003" w:tentative="1">
      <w:start w:val="1"/>
      <w:numFmt w:val="bullet"/>
      <w:lvlText w:val="o"/>
      <w:lvlJc w:val="left"/>
      <w:pPr>
        <w:ind w:left="6542" w:hanging="360"/>
      </w:pPr>
      <w:rPr>
        <w:rFonts w:ascii="Courier New" w:hAnsi="Courier New" w:cs="Courier New" w:hint="default"/>
      </w:rPr>
    </w:lvl>
    <w:lvl w:ilvl="8" w:tplc="04090005" w:tentative="1">
      <w:start w:val="1"/>
      <w:numFmt w:val="bullet"/>
      <w:lvlText w:val=""/>
      <w:lvlJc w:val="left"/>
      <w:pPr>
        <w:ind w:left="7262" w:hanging="360"/>
      </w:pPr>
      <w:rPr>
        <w:rFonts w:ascii="Wingdings" w:hAnsi="Wingdings" w:hint="default"/>
      </w:rPr>
    </w:lvl>
  </w:abstractNum>
  <w:abstractNum w:abstractNumId="31" w15:restartNumberingAfterBreak="0">
    <w:nsid w:val="2F981D02"/>
    <w:multiLevelType w:val="hybridMultilevel"/>
    <w:tmpl w:val="216CA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B61C88"/>
    <w:multiLevelType w:val="hybridMultilevel"/>
    <w:tmpl w:val="8D58EF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0475319"/>
    <w:multiLevelType w:val="hybridMultilevel"/>
    <w:tmpl w:val="4D5AEB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57F02DE"/>
    <w:multiLevelType w:val="hybridMultilevel"/>
    <w:tmpl w:val="620CD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5832A93"/>
    <w:multiLevelType w:val="hybridMultilevel"/>
    <w:tmpl w:val="F5BEF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B9D302C"/>
    <w:multiLevelType w:val="hybridMultilevel"/>
    <w:tmpl w:val="95A09884"/>
    <w:lvl w:ilvl="0" w:tplc="04090001">
      <w:start w:val="1"/>
      <w:numFmt w:val="bullet"/>
      <w:lvlText w:val=""/>
      <w:lvlJc w:val="left"/>
      <w:pPr>
        <w:ind w:left="1062" w:hanging="360"/>
      </w:pPr>
      <w:rPr>
        <w:rFonts w:ascii="Symbol" w:hAnsi="Symbol" w:hint="default"/>
      </w:rPr>
    </w:lvl>
    <w:lvl w:ilvl="1" w:tplc="04090003">
      <w:start w:val="1"/>
      <w:numFmt w:val="bullet"/>
      <w:lvlText w:val="o"/>
      <w:lvlJc w:val="left"/>
      <w:pPr>
        <w:ind w:left="1782" w:hanging="360"/>
      </w:pPr>
      <w:rPr>
        <w:rFonts w:ascii="Courier New" w:hAnsi="Courier New" w:cs="Courier New" w:hint="default"/>
      </w:rPr>
    </w:lvl>
    <w:lvl w:ilvl="2" w:tplc="04090005">
      <w:start w:val="1"/>
      <w:numFmt w:val="bullet"/>
      <w:lvlText w:val=""/>
      <w:lvlJc w:val="left"/>
      <w:pPr>
        <w:ind w:left="2502" w:hanging="360"/>
      </w:pPr>
      <w:rPr>
        <w:rFonts w:ascii="Wingdings" w:hAnsi="Wingdings" w:hint="default"/>
      </w:rPr>
    </w:lvl>
    <w:lvl w:ilvl="3" w:tplc="04090001">
      <w:start w:val="1"/>
      <w:numFmt w:val="bullet"/>
      <w:lvlText w:val=""/>
      <w:lvlJc w:val="left"/>
      <w:pPr>
        <w:ind w:left="3222" w:hanging="360"/>
      </w:pPr>
      <w:rPr>
        <w:rFonts w:ascii="Symbol" w:hAnsi="Symbol" w:hint="default"/>
      </w:rPr>
    </w:lvl>
    <w:lvl w:ilvl="4" w:tplc="04090003">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37" w15:restartNumberingAfterBreak="0">
    <w:nsid w:val="413607B2"/>
    <w:multiLevelType w:val="hybridMultilevel"/>
    <w:tmpl w:val="CD362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27E11A3"/>
    <w:multiLevelType w:val="hybridMultilevel"/>
    <w:tmpl w:val="7DB897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44F24058"/>
    <w:multiLevelType w:val="hybridMultilevel"/>
    <w:tmpl w:val="2A6A98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A7F213F"/>
    <w:multiLevelType w:val="hybridMultilevel"/>
    <w:tmpl w:val="46CC5798"/>
    <w:lvl w:ilvl="0" w:tplc="D6C0127E">
      <w:start w:val="1"/>
      <w:numFmt w:val="decimal"/>
      <w:lvlText w:val="%1."/>
      <w:lvlJc w:val="left"/>
      <w:pPr>
        <w:ind w:left="1080" w:hanging="360"/>
      </w:pPr>
      <w:rPr>
        <w:rFonts w:asciiTheme="minorHAnsi" w:eastAsiaTheme="minorHAnsi" w:hAnsiTheme="minorHAnsi" w:cstheme="minorHAns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4B0D7F8F"/>
    <w:multiLevelType w:val="hybridMultilevel"/>
    <w:tmpl w:val="A57AE89C"/>
    <w:lvl w:ilvl="0" w:tplc="04090019">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2" w15:restartNumberingAfterBreak="0">
    <w:nsid w:val="4DED543D"/>
    <w:multiLevelType w:val="hybridMultilevel"/>
    <w:tmpl w:val="B36A7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E6D65D0"/>
    <w:multiLevelType w:val="hybridMultilevel"/>
    <w:tmpl w:val="95C8C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E9F5D4B"/>
    <w:multiLevelType w:val="multilevel"/>
    <w:tmpl w:val="9DE4D99E"/>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EE977CA"/>
    <w:multiLevelType w:val="hybridMultilevel"/>
    <w:tmpl w:val="341A3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216346"/>
    <w:multiLevelType w:val="hybridMultilevel"/>
    <w:tmpl w:val="424CEE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08B3589"/>
    <w:multiLevelType w:val="hybridMultilevel"/>
    <w:tmpl w:val="6256E8B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2195970"/>
    <w:multiLevelType w:val="hybridMultilevel"/>
    <w:tmpl w:val="DCD2E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27A6BF3"/>
    <w:multiLevelType w:val="hybridMultilevel"/>
    <w:tmpl w:val="5D6EC3AE"/>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0" w15:restartNumberingAfterBreak="0">
    <w:nsid w:val="53594219"/>
    <w:multiLevelType w:val="hybridMultilevel"/>
    <w:tmpl w:val="E3F0F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61D5EC4"/>
    <w:multiLevelType w:val="hybridMultilevel"/>
    <w:tmpl w:val="A202B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67D3FC8"/>
    <w:multiLevelType w:val="hybridMultilevel"/>
    <w:tmpl w:val="1E02A5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6B533BC"/>
    <w:multiLevelType w:val="hybridMultilevel"/>
    <w:tmpl w:val="3192350C"/>
    <w:lvl w:ilvl="0" w:tplc="2DC427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7435DE2"/>
    <w:multiLevelType w:val="hybridMultilevel"/>
    <w:tmpl w:val="F4C24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07099A"/>
    <w:multiLevelType w:val="hybridMultilevel"/>
    <w:tmpl w:val="FA22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BD70962"/>
    <w:multiLevelType w:val="hybridMultilevel"/>
    <w:tmpl w:val="7664391E"/>
    <w:lvl w:ilvl="0" w:tplc="01FEB55E">
      <w:start w:val="1"/>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D2764B3"/>
    <w:multiLevelType w:val="hybridMultilevel"/>
    <w:tmpl w:val="C2A60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D317DAC"/>
    <w:multiLevelType w:val="hybridMultilevel"/>
    <w:tmpl w:val="0BC00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F643D01"/>
    <w:multiLevelType w:val="hybridMultilevel"/>
    <w:tmpl w:val="E6B8CAC0"/>
    <w:lvl w:ilvl="0" w:tplc="FFFFFFFF">
      <w:start w:val="1"/>
      <w:numFmt w:val="upperLetter"/>
      <w:lvlText w:val="%1."/>
      <w:lvlJc w:val="left"/>
      <w:pPr>
        <w:ind w:left="1080" w:hanging="360"/>
      </w:pPr>
    </w:lvl>
    <w:lvl w:ilvl="1" w:tplc="04090015">
      <w:start w:val="1"/>
      <w:numFmt w:val="upperLetter"/>
      <w:lvlText w:val="%2."/>
      <w:lvlJc w:val="left"/>
      <w:pPr>
        <w:ind w:left="135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0" w15:restartNumberingAfterBreak="0">
    <w:nsid w:val="614302C2"/>
    <w:multiLevelType w:val="hybridMultilevel"/>
    <w:tmpl w:val="250E17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63DC461E"/>
    <w:multiLevelType w:val="hybridMultilevel"/>
    <w:tmpl w:val="8230D9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BCD6625"/>
    <w:multiLevelType w:val="hybridMultilevel"/>
    <w:tmpl w:val="983498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43855E2"/>
    <w:multiLevelType w:val="hybridMultilevel"/>
    <w:tmpl w:val="3B64E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191DDE"/>
    <w:multiLevelType w:val="hybridMultilevel"/>
    <w:tmpl w:val="CBD8A394"/>
    <w:lvl w:ilvl="0" w:tplc="DE38915A">
      <w:start w:val="4"/>
      <w:numFmt w:val="upperLetter"/>
      <w:lvlText w:val="%1."/>
      <w:lvlJc w:val="left"/>
      <w:pPr>
        <w:ind w:left="135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A944FDF"/>
    <w:multiLevelType w:val="hybridMultilevel"/>
    <w:tmpl w:val="E1C4B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B891AA1"/>
    <w:multiLevelType w:val="hybridMultilevel"/>
    <w:tmpl w:val="6C847E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7C2909FD"/>
    <w:multiLevelType w:val="hybridMultilevel"/>
    <w:tmpl w:val="C4684F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7F8A149C"/>
    <w:multiLevelType w:val="hybridMultilevel"/>
    <w:tmpl w:val="09869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FD55E5C"/>
    <w:multiLevelType w:val="hybridMultilevel"/>
    <w:tmpl w:val="7988F1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8313431">
    <w:abstractNumId w:val="17"/>
  </w:num>
  <w:num w:numId="2" w16cid:durableId="1396780644">
    <w:abstractNumId w:val="43"/>
  </w:num>
  <w:num w:numId="3" w16cid:durableId="80641236">
    <w:abstractNumId w:val="16"/>
  </w:num>
  <w:num w:numId="4" w16cid:durableId="2095395748">
    <w:abstractNumId w:val="18"/>
  </w:num>
  <w:num w:numId="5" w16cid:durableId="849829103">
    <w:abstractNumId w:val="36"/>
  </w:num>
  <w:num w:numId="6" w16cid:durableId="4095580">
    <w:abstractNumId w:val="48"/>
  </w:num>
  <w:num w:numId="7" w16cid:durableId="988435382">
    <w:abstractNumId w:val="28"/>
  </w:num>
  <w:num w:numId="8" w16cid:durableId="1452474575">
    <w:abstractNumId w:val="37"/>
  </w:num>
  <w:num w:numId="9" w16cid:durableId="580913529">
    <w:abstractNumId w:val="9"/>
  </w:num>
  <w:num w:numId="10" w16cid:durableId="1902710811">
    <w:abstractNumId w:val="0"/>
  </w:num>
  <w:num w:numId="11" w16cid:durableId="1213806773">
    <w:abstractNumId w:val="22"/>
  </w:num>
  <w:num w:numId="12" w16cid:durableId="239025022">
    <w:abstractNumId w:val="27"/>
  </w:num>
  <w:num w:numId="13" w16cid:durableId="1589658556">
    <w:abstractNumId w:val="51"/>
  </w:num>
  <w:num w:numId="14" w16cid:durableId="1273780380">
    <w:abstractNumId w:val="66"/>
  </w:num>
  <w:num w:numId="15" w16cid:durableId="1363823316">
    <w:abstractNumId w:val="3"/>
  </w:num>
  <w:num w:numId="16" w16cid:durableId="281619206">
    <w:abstractNumId w:val="47"/>
  </w:num>
  <w:num w:numId="17" w16cid:durableId="350498584">
    <w:abstractNumId w:val="1"/>
  </w:num>
  <w:num w:numId="18" w16cid:durableId="2002349388">
    <w:abstractNumId w:val="50"/>
  </w:num>
  <w:num w:numId="19" w16cid:durableId="1331450179">
    <w:abstractNumId w:val="38"/>
  </w:num>
  <w:num w:numId="20" w16cid:durableId="1304697051">
    <w:abstractNumId w:val="35"/>
  </w:num>
  <w:num w:numId="21" w16cid:durableId="1249196835">
    <w:abstractNumId w:val="58"/>
  </w:num>
  <w:num w:numId="22" w16cid:durableId="1647315599">
    <w:abstractNumId w:val="34"/>
  </w:num>
  <w:num w:numId="23" w16cid:durableId="1915503494">
    <w:abstractNumId w:val="25"/>
  </w:num>
  <w:num w:numId="24" w16cid:durableId="1953635611">
    <w:abstractNumId w:val="45"/>
  </w:num>
  <w:num w:numId="25" w16cid:durableId="1685474314">
    <w:abstractNumId w:val="57"/>
  </w:num>
  <w:num w:numId="26" w16cid:durableId="526140708">
    <w:abstractNumId w:val="24"/>
  </w:num>
  <w:num w:numId="27" w16cid:durableId="1434663162">
    <w:abstractNumId w:val="13"/>
  </w:num>
  <w:num w:numId="28" w16cid:durableId="502859887">
    <w:abstractNumId w:val="33"/>
  </w:num>
  <w:num w:numId="29" w16cid:durableId="2125271048">
    <w:abstractNumId w:val="60"/>
  </w:num>
  <w:num w:numId="30" w16cid:durableId="1876775356">
    <w:abstractNumId w:val="61"/>
  </w:num>
  <w:num w:numId="31" w16cid:durableId="1191921475">
    <w:abstractNumId w:val="20"/>
  </w:num>
  <w:num w:numId="32" w16cid:durableId="401028225">
    <w:abstractNumId w:val="44"/>
  </w:num>
  <w:num w:numId="33" w16cid:durableId="1252011643">
    <w:abstractNumId w:val="4"/>
  </w:num>
  <w:num w:numId="34" w16cid:durableId="139076661">
    <w:abstractNumId w:val="2"/>
  </w:num>
  <w:num w:numId="35" w16cid:durableId="493761377">
    <w:abstractNumId w:val="41"/>
  </w:num>
  <w:num w:numId="36" w16cid:durableId="1969192096">
    <w:abstractNumId w:val="49"/>
  </w:num>
  <w:num w:numId="37" w16cid:durableId="577983985">
    <w:abstractNumId w:val="40"/>
  </w:num>
  <w:num w:numId="38" w16cid:durableId="893391456">
    <w:abstractNumId w:val="15"/>
  </w:num>
  <w:num w:numId="39" w16cid:durableId="240724375">
    <w:abstractNumId w:val="31"/>
  </w:num>
  <w:num w:numId="40" w16cid:durableId="186063765">
    <w:abstractNumId w:val="62"/>
  </w:num>
  <w:num w:numId="41" w16cid:durableId="1772508145">
    <w:abstractNumId w:val="68"/>
  </w:num>
  <w:num w:numId="42" w16cid:durableId="1601834898">
    <w:abstractNumId w:val="56"/>
  </w:num>
  <w:num w:numId="43" w16cid:durableId="302390197">
    <w:abstractNumId w:val="46"/>
  </w:num>
  <w:num w:numId="44" w16cid:durableId="2099598888">
    <w:abstractNumId w:val="10"/>
  </w:num>
  <w:num w:numId="45" w16cid:durableId="1776319402">
    <w:abstractNumId w:val="52"/>
  </w:num>
  <w:num w:numId="46" w16cid:durableId="444740869">
    <w:abstractNumId w:val="23"/>
  </w:num>
  <w:num w:numId="47" w16cid:durableId="1241868974">
    <w:abstractNumId w:val="12"/>
  </w:num>
  <w:num w:numId="48" w16cid:durableId="808668993">
    <w:abstractNumId w:val="26"/>
  </w:num>
  <w:num w:numId="49" w16cid:durableId="876964693">
    <w:abstractNumId w:val="67"/>
  </w:num>
  <w:num w:numId="50" w16cid:durableId="1873689440">
    <w:abstractNumId w:val="6"/>
  </w:num>
  <w:num w:numId="51" w16cid:durableId="162817389">
    <w:abstractNumId w:val="5"/>
  </w:num>
  <w:num w:numId="52" w16cid:durableId="680013910">
    <w:abstractNumId w:val="63"/>
  </w:num>
  <w:num w:numId="53" w16cid:durableId="506671781">
    <w:abstractNumId w:val="7"/>
  </w:num>
  <w:num w:numId="54" w16cid:durableId="459612098">
    <w:abstractNumId w:val="53"/>
  </w:num>
  <w:num w:numId="55" w16cid:durableId="234169913">
    <w:abstractNumId w:val="39"/>
  </w:num>
  <w:num w:numId="56" w16cid:durableId="1252156635">
    <w:abstractNumId w:val="65"/>
  </w:num>
  <w:num w:numId="57" w16cid:durableId="2071417837">
    <w:abstractNumId w:val="29"/>
  </w:num>
  <w:num w:numId="58" w16cid:durableId="2074893036">
    <w:abstractNumId w:val="42"/>
  </w:num>
  <w:num w:numId="59" w16cid:durableId="407845923">
    <w:abstractNumId w:val="55"/>
  </w:num>
  <w:num w:numId="60" w16cid:durableId="1029798193">
    <w:abstractNumId w:val="19"/>
  </w:num>
  <w:num w:numId="61" w16cid:durableId="1279144554">
    <w:abstractNumId w:val="8"/>
  </w:num>
  <w:num w:numId="62" w16cid:durableId="388112463">
    <w:abstractNumId w:val="32"/>
  </w:num>
  <w:num w:numId="63" w16cid:durableId="100994592">
    <w:abstractNumId w:val="21"/>
  </w:num>
  <w:num w:numId="64" w16cid:durableId="503667576">
    <w:abstractNumId w:val="59"/>
  </w:num>
  <w:num w:numId="65" w16cid:durableId="1695614095">
    <w:abstractNumId w:val="11"/>
  </w:num>
  <w:num w:numId="66" w16cid:durableId="939146503">
    <w:abstractNumId w:val="64"/>
  </w:num>
  <w:num w:numId="67" w16cid:durableId="1606843701">
    <w:abstractNumId w:val="69"/>
  </w:num>
  <w:num w:numId="68" w16cid:durableId="91902805">
    <w:abstractNumId w:val="14"/>
  </w:num>
  <w:num w:numId="69" w16cid:durableId="935476116">
    <w:abstractNumId w:val="54"/>
  </w:num>
  <w:num w:numId="70" w16cid:durableId="113417425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7A7"/>
    <w:rsid w:val="00002A2E"/>
    <w:rsid w:val="00013F2A"/>
    <w:rsid w:val="00015B2A"/>
    <w:rsid w:val="00017DBE"/>
    <w:rsid w:val="00020D49"/>
    <w:rsid w:val="00031795"/>
    <w:rsid w:val="00031819"/>
    <w:rsid w:val="00031CCF"/>
    <w:rsid w:val="0003503D"/>
    <w:rsid w:val="00042E39"/>
    <w:rsid w:val="00044E65"/>
    <w:rsid w:val="000521A8"/>
    <w:rsid w:val="00054813"/>
    <w:rsid w:val="000576BD"/>
    <w:rsid w:val="0006076C"/>
    <w:rsid w:val="00063955"/>
    <w:rsid w:val="000748FC"/>
    <w:rsid w:val="000804AC"/>
    <w:rsid w:val="00081F54"/>
    <w:rsid w:val="00082C41"/>
    <w:rsid w:val="0008626D"/>
    <w:rsid w:val="00092656"/>
    <w:rsid w:val="000932D8"/>
    <w:rsid w:val="00093C63"/>
    <w:rsid w:val="00096D00"/>
    <w:rsid w:val="000A6608"/>
    <w:rsid w:val="000A7C5B"/>
    <w:rsid w:val="000A7D27"/>
    <w:rsid w:val="000B0D1D"/>
    <w:rsid w:val="000B27BF"/>
    <w:rsid w:val="000B3894"/>
    <w:rsid w:val="000B702B"/>
    <w:rsid w:val="000C16AF"/>
    <w:rsid w:val="000C31EF"/>
    <w:rsid w:val="000C39B4"/>
    <w:rsid w:val="000C5F30"/>
    <w:rsid w:val="000C7C25"/>
    <w:rsid w:val="000D7258"/>
    <w:rsid w:val="000D7D0C"/>
    <w:rsid w:val="000E100D"/>
    <w:rsid w:val="000E375C"/>
    <w:rsid w:val="000E3A38"/>
    <w:rsid w:val="000E66A3"/>
    <w:rsid w:val="000E7C2A"/>
    <w:rsid w:val="000F1116"/>
    <w:rsid w:val="000F114F"/>
    <w:rsid w:val="000F44E8"/>
    <w:rsid w:val="00101A00"/>
    <w:rsid w:val="00106041"/>
    <w:rsid w:val="001111FE"/>
    <w:rsid w:val="00112718"/>
    <w:rsid w:val="00116835"/>
    <w:rsid w:val="00124C6F"/>
    <w:rsid w:val="0013101F"/>
    <w:rsid w:val="001318E4"/>
    <w:rsid w:val="001323FD"/>
    <w:rsid w:val="0013404C"/>
    <w:rsid w:val="0014009B"/>
    <w:rsid w:val="00141CFE"/>
    <w:rsid w:val="001426A8"/>
    <w:rsid w:val="00146EDC"/>
    <w:rsid w:val="00146F68"/>
    <w:rsid w:val="00152226"/>
    <w:rsid w:val="001555EF"/>
    <w:rsid w:val="00157BCF"/>
    <w:rsid w:val="00166B3C"/>
    <w:rsid w:val="00167016"/>
    <w:rsid w:val="00170450"/>
    <w:rsid w:val="001734FB"/>
    <w:rsid w:val="001759F1"/>
    <w:rsid w:val="00180174"/>
    <w:rsid w:val="001803A2"/>
    <w:rsid w:val="00181E41"/>
    <w:rsid w:val="00184C90"/>
    <w:rsid w:val="00190FBC"/>
    <w:rsid w:val="001962D9"/>
    <w:rsid w:val="001A2D4F"/>
    <w:rsid w:val="001A42F7"/>
    <w:rsid w:val="001A4AC3"/>
    <w:rsid w:val="001B1645"/>
    <w:rsid w:val="001B457B"/>
    <w:rsid w:val="001B73DF"/>
    <w:rsid w:val="001C443E"/>
    <w:rsid w:val="001C6864"/>
    <w:rsid w:val="001D3865"/>
    <w:rsid w:val="001D4F56"/>
    <w:rsid w:val="001E1460"/>
    <w:rsid w:val="001E22CB"/>
    <w:rsid w:val="001E6E8B"/>
    <w:rsid w:val="001E7D00"/>
    <w:rsid w:val="001F0D0D"/>
    <w:rsid w:val="002044D2"/>
    <w:rsid w:val="00206737"/>
    <w:rsid w:val="00206856"/>
    <w:rsid w:val="002117E8"/>
    <w:rsid w:val="002128EE"/>
    <w:rsid w:val="00215298"/>
    <w:rsid w:val="00215791"/>
    <w:rsid w:val="00216A2C"/>
    <w:rsid w:val="00225A39"/>
    <w:rsid w:val="0022706E"/>
    <w:rsid w:val="002311BB"/>
    <w:rsid w:val="0023180E"/>
    <w:rsid w:val="00234983"/>
    <w:rsid w:val="00243849"/>
    <w:rsid w:val="002440CB"/>
    <w:rsid w:val="00251913"/>
    <w:rsid w:val="00255DDA"/>
    <w:rsid w:val="0026026E"/>
    <w:rsid w:val="0026143E"/>
    <w:rsid w:val="00264A4E"/>
    <w:rsid w:val="00264EE4"/>
    <w:rsid w:val="002659F1"/>
    <w:rsid w:val="00266A04"/>
    <w:rsid w:val="0027084E"/>
    <w:rsid w:val="0027332A"/>
    <w:rsid w:val="002748C2"/>
    <w:rsid w:val="00274F04"/>
    <w:rsid w:val="00280AF8"/>
    <w:rsid w:val="00280CEE"/>
    <w:rsid w:val="002849C0"/>
    <w:rsid w:val="002A130B"/>
    <w:rsid w:val="002A32A9"/>
    <w:rsid w:val="002A4182"/>
    <w:rsid w:val="002B1E43"/>
    <w:rsid w:val="002B7ECF"/>
    <w:rsid w:val="002D0CA6"/>
    <w:rsid w:val="002D3D14"/>
    <w:rsid w:val="002D52AA"/>
    <w:rsid w:val="002E0F97"/>
    <w:rsid w:val="002E19AD"/>
    <w:rsid w:val="002E476C"/>
    <w:rsid w:val="002E7D2E"/>
    <w:rsid w:val="002F02ED"/>
    <w:rsid w:val="002F4318"/>
    <w:rsid w:val="002F6EA4"/>
    <w:rsid w:val="003005C2"/>
    <w:rsid w:val="0030518B"/>
    <w:rsid w:val="00314040"/>
    <w:rsid w:val="0031496A"/>
    <w:rsid w:val="00316580"/>
    <w:rsid w:val="003203B8"/>
    <w:rsid w:val="00321871"/>
    <w:rsid w:val="0032381A"/>
    <w:rsid w:val="003243A4"/>
    <w:rsid w:val="0032535E"/>
    <w:rsid w:val="0032706B"/>
    <w:rsid w:val="00331204"/>
    <w:rsid w:val="003324A8"/>
    <w:rsid w:val="0033328C"/>
    <w:rsid w:val="00335097"/>
    <w:rsid w:val="00340A1E"/>
    <w:rsid w:val="00351127"/>
    <w:rsid w:val="00356DFE"/>
    <w:rsid w:val="003605BD"/>
    <w:rsid w:val="00360B11"/>
    <w:rsid w:val="00361DB8"/>
    <w:rsid w:val="00363434"/>
    <w:rsid w:val="00363CFF"/>
    <w:rsid w:val="003655BC"/>
    <w:rsid w:val="003663BA"/>
    <w:rsid w:val="00375F71"/>
    <w:rsid w:val="00376D85"/>
    <w:rsid w:val="003771C9"/>
    <w:rsid w:val="003806EA"/>
    <w:rsid w:val="00380F9D"/>
    <w:rsid w:val="00386833"/>
    <w:rsid w:val="003922AA"/>
    <w:rsid w:val="003A4BA4"/>
    <w:rsid w:val="003B1DC0"/>
    <w:rsid w:val="003B40AD"/>
    <w:rsid w:val="003B75D4"/>
    <w:rsid w:val="003C01A1"/>
    <w:rsid w:val="003C1E44"/>
    <w:rsid w:val="003C3012"/>
    <w:rsid w:val="003C3A39"/>
    <w:rsid w:val="003C3BCE"/>
    <w:rsid w:val="003D27A7"/>
    <w:rsid w:val="003D28FE"/>
    <w:rsid w:val="003E4635"/>
    <w:rsid w:val="003E627E"/>
    <w:rsid w:val="003E7A1A"/>
    <w:rsid w:val="003F1AA7"/>
    <w:rsid w:val="003F459F"/>
    <w:rsid w:val="004001F0"/>
    <w:rsid w:val="00404DE1"/>
    <w:rsid w:val="00405B17"/>
    <w:rsid w:val="00407F0C"/>
    <w:rsid w:val="00411CE1"/>
    <w:rsid w:val="004131B0"/>
    <w:rsid w:val="00414D2F"/>
    <w:rsid w:val="004166ED"/>
    <w:rsid w:val="0041750E"/>
    <w:rsid w:val="004179C9"/>
    <w:rsid w:val="00420873"/>
    <w:rsid w:val="00425B86"/>
    <w:rsid w:val="00426CFD"/>
    <w:rsid w:val="00427847"/>
    <w:rsid w:val="00433ADC"/>
    <w:rsid w:val="004362DC"/>
    <w:rsid w:val="004404A8"/>
    <w:rsid w:val="00447D47"/>
    <w:rsid w:val="004532E8"/>
    <w:rsid w:val="004571D1"/>
    <w:rsid w:val="00470B91"/>
    <w:rsid w:val="00481E90"/>
    <w:rsid w:val="00484F7C"/>
    <w:rsid w:val="0048671B"/>
    <w:rsid w:val="00492517"/>
    <w:rsid w:val="0049290A"/>
    <w:rsid w:val="004A00F9"/>
    <w:rsid w:val="004A27BA"/>
    <w:rsid w:val="004A3864"/>
    <w:rsid w:val="004A7A9B"/>
    <w:rsid w:val="004B14E6"/>
    <w:rsid w:val="004B3471"/>
    <w:rsid w:val="004B4D34"/>
    <w:rsid w:val="004B5595"/>
    <w:rsid w:val="004C1D08"/>
    <w:rsid w:val="004C244A"/>
    <w:rsid w:val="004C40A6"/>
    <w:rsid w:val="004D1D90"/>
    <w:rsid w:val="004D27ED"/>
    <w:rsid w:val="004D5E75"/>
    <w:rsid w:val="004E32DA"/>
    <w:rsid w:val="004E56F9"/>
    <w:rsid w:val="004F035C"/>
    <w:rsid w:val="004F1F96"/>
    <w:rsid w:val="004F43D1"/>
    <w:rsid w:val="004F6504"/>
    <w:rsid w:val="005009C4"/>
    <w:rsid w:val="005035A9"/>
    <w:rsid w:val="00504064"/>
    <w:rsid w:val="005041C5"/>
    <w:rsid w:val="00511906"/>
    <w:rsid w:val="00523E46"/>
    <w:rsid w:val="00525657"/>
    <w:rsid w:val="00527CC7"/>
    <w:rsid w:val="005317E2"/>
    <w:rsid w:val="005347B4"/>
    <w:rsid w:val="0054006A"/>
    <w:rsid w:val="00540E57"/>
    <w:rsid w:val="0054172F"/>
    <w:rsid w:val="00550259"/>
    <w:rsid w:val="0055077A"/>
    <w:rsid w:val="0055290E"/>
    <w:rsid w:val="00553824"/>
    <w:rsid w:val="00553FAB"/>
    <w:rsid w:val="005564B5"/>
    <w:rsid w:val="005571EA"/>
    <w:rsid w:val="005612BD"/>
    <w:rsid w:val="00570D65"/>
    <w:rsid w:val="005727F3"/>
    <w:rsid w:val="0058337B"/>
    <w:rsid w:val="00583707"/>
    <w:rsid w:val="00584318"/>
    <w:rsid w:val="00594912"/>
    <w:rsid w:val="005A1D49"/>
    <w:rsid w:val="005B09AB"/>
    <w:rsid w:val="005B3A94"/>
    <w:rsid w:val="005C1D12"/>
    <w:rsid w:val="005C4CFD"/>
    <w:rsid w:val="005C5E2F"/>
    <w:rsid w:val="005C67EF"/>
    <w:rsid w:val="005C6D93"/>
    <w:rsid w:val="005D1CF3"/>
    <w:rsid w:val="005D2454"/>
    <w:rsid w:val="005D7AB5"/>
    <w:rsid w:val="005E130F"/>
    <w:rsid w:val="005E347D"/>
    <w:rsid w:val="005E4B5B"/>
    <w:rsid w:val="005E50BE"/>
    <w:rsid w:val="005F009C"/>
    <w:rsid w:val="005F015F"/>
    <w:rsid w:val="005F17C5"/>
    <w:rsid w:val="005F2723"/>
    <w:rsid w:val="005F3889"/>
    <w:rsid w:val="005F421C"/>
    <w:rsid w:val="006008B2"/>
    <w:rsid w:val="006026D7"/>
    <w:rsid w:val="00604121"/>
    <w:rsid w:val="006065E3"/>
    <w:rsid w:val="0061113C"/>
    <w:rsid w:val="00622E27"/>
    <w:rsid w:val="00623CEB"/>
    <w:rsid w:val="006318D8"/>
    <w:rsid w:val="00635070"/>
    <w:rsid w:val="006425C1"/>
    <w:rsid w:val="0064294B"/>
    <w:rsid w:val="00652501"/>
    <w:rsid w:val="00657831"/>
    <w:rsid w:val="0066221F"/>
    <w:rsid w:val="00671A5D"/>
    <w:rsid w:val="00691CA4"/>
    <w:rsid w:val="00694ED9"/>
    <w:rsid w:val="006959DE"/>
    <w:rsid w:val="00696F8A"/>
    <w:rsid w:val="006A25D4"/>
    <w:rsid w:val="006A5D41"/>
    <w:rsid w:val="006A6134"/>
    <w:rsid w:val="006A642A"/>
    <w:rsid w:val="006A7995"/>
    <w:rsid w:val="006A7E18"/>
    <w:rsid w:val="006B119E"/>
    <w:rsid w:val="006B190C"/>
    <w:rsid w:val="006B1B7D"/>
    <w:rsid w:val="006B55A1"/>
    <w:rsid w:val="006B60B1"/>
    <w:rsid w:val="006C1CE0"/>
    <w:rsid w:val="006C2D56"/>
    <w:rsid w:val="006C35F8"/>
    <w:rsid w:val="006C6D21"/>
    <w:rsid w:val="006C7952"/>
    <w:rsid w:val="006D2398"/>
    <w:rsid w:val="006D4135"/>
    <w:rsid w:val="006E14CD"/>
    <w:rsid w:val="006E497C"/>
    <w:rsid w:val="006E724C"/>
    <w:rsid w:val="006F0F74"/>
    <w:rsid w:val="006F134C"/>
    <w:rsid w:val="006F1939"/>
    <w:rsid w:val="006F2D76"/>
    <w:rsid w:val="006F7BE7"/>
    <w:rsid w:val="007049C7"/>
    <w:rsid w:val="007056DE"/>
    <w:rsid w:val="00705BA3"/>
    <w:rsid w:val="00717D61"/>
    <w:rsid w:val="0072006B"/>
    <w:rsid w:val="00722B03"/>
    <w:rsid w:val="0072684B"/>
    <w:rsid w:val="00726DA0"/>
    <w:rsid w:val="007307D0"/>
    <w:rsid w:val="0073395B"/>
    <w:rsid w:val="00736398"/>
    <w:rsid w:val="00736727"/>
    <w:rsid w:val="007420BD"/>
    <w:rsid w:val="0074449F"/>
    <w:rsid w:val="007465AB"/>
    <w:rsid w:val="00754142"/>
    <w:rsid w:val="00757C67"/>
    <w:rsid w:val="00760E55"/>
    <w:rsid w:val="007620B8"/>
    <w:rsid w:val="00762885"/>
    <w:rsid w:val="00762A0D"/>
    <w:rsid w:val="00763357"/>
    <w:rsid w:val="00767ABB"/>
    <w:rsid w:val="00775733"/>
    <w:rsid w:val="00782BA1"/>
    <w:rsid w:val="007937D9"/>
    <w:rsid w:val="007948D9"/>
    <w:rsid w:val="007B3154"/>
    <w:rsid w:val="007C4483"/>
    <w:rsid w:val="007C74AC"/>
    <w:rsid w:val="007D044D"/>
    <w:rsid w:val="007D4C71"/>
    <w:rsid w:val="007D7BA6"/>
    <w:rsid w:val="007E0508"/>
    <w:rsid w:val="007E06D7"/>
    <w:rsid w:val="007E212C"/>
    <w:rsid w:val="007E5D53"/>
    <w:rsid w:val="007F00CD"/>
    <w:rsid w:val="007F420F"/>
    <w:rsid w:val="007F469B"/>
    <w:rsid w:val="007F4906"/>
    <w:rsid w:val="007F5C57"/>
    <w:rsid w:val="00801257"/>
    <w:rsid w:val="00804381"/>
    <w:rsid w:val="0080543A"/>
    <w:rsid w:val="00805B17"/>
    <w:rsid w:val="00817421"/>
    <w:rsid w:val="0082057D"/>
    <w:rsid w:val="00821626"/>
    <w:rsid w:val="00821902"/>
    <w:rsid w:val="00821B68"/>
    <w:rsid w:val="00821BE9"/>
    <w:rsid w:val="00822626"/>
    <w:rsid w:val="00822EC1"/>
    <w:rsid w:val="00822F25"/>
    <w:rsid w:val="00831CDD"/>
    <w:rsid w:val="00833E4E"/>
    <w:rsid w:val="00836ECC"/>
    <w:rsid w:val="00837C77"/>
    <w:rsid w:val="008404DD"/>
    <w:rsid w:val="008406E1"/>
    <w:rsid w:val="00840821"/>
    <w:rsid w:val="00850C46"/>
    <w:rsid w:val="00855D63"/>
    <w:rsid w:val="00856539"/>
    <w:rsid w:val="008571A8"/>
    <w:rsid w:val="00864598"/>
    <w:rsid w:val="00870A8F"/>
    <w:rsid w:val="00871325"/>
    <w:rsid w:val="008724D0"/>
    <w:rsid w:val="008815F0"/>
    <w:rsid w:val="0088305F"/>
    <w:rsid w:val="008868AE"/>
    <w:rsid w:val="00887D7D"/>
    <w:rsid w:val="008936B9"/>
    <w:rsid w:val="0089396B"/>
    <w:rsid w:val="008A107B"/>
    <w:rsid w:val="008A2025"/>
    <w:rsid w:val="008A26DE"/>
    <w:rsid w:val="008A28BB"/>
    <w:rsid w:val="008A45FC"/>
    <w:rsid w:val="008A6DCA"/>
    <w:rsid w:val="008A6F7B"/>
    <w:rsid w:val="008B2F56"/>
    <w:rsid w:val="008B48C6"/>
    <w:rsid w:val="008B544F"/>
    <w:rsid w:val="008C01F1"/>
    <w:rsid w:val="008C02E0"/>
    <w:rsid w:val="008C160F"/>
    <w:rsid w:val="008C1CFC"/>
    <w:rsid w:val="008C25F8"/>
    <w:rsid w:val="008C4243"/>
    <w:rsid w:val="008C78BB"/>
    <w:rsid w:val="008C791C"/>
    <w:rsid w:val="008D0197"/>
    <w:rsid w:val="008D1B4C"/>
    <w:rsid w:val="008D255A"/>
    <w:rsid w:val="008D71E6"/>
    <w:rsid w:val="008E15FD"/>
    <w:rsid w:val="008E31D9"/>
    <w:rsid w:val="008E607F"/>
    <w:rsid w:val="008E6DE8"/>
    <w:rsid w:val="008F16BA"/>
    <w:rsid w:val="008F25B7"/>
    <w:rsid w:val="008F4B84"/>
    <w:rsid w:val="008F75C6"/>
    <w:rsid w:val="008F7992"/>
    <w:rsid w:val="0090110D"/>
    <w:rsid w:val="00905B32"/>
    <w:rsid w:val="00913D0A"/>
    <w:rsid w:val="00914D11"/>
    <w:rsid w:val="00915A21"/>
    <w:rsid w:val="00915E3D"/>
    <w:rsid w:val="009167D7"/>
    <w:rsid w:val="009221AC"/>
    <w:rsid w:val="009235CB"/>
    <w:rsid w:val="00927446"/>
    <w:rsid w:val="009311E9"/>
    <w:rsid w:val="00931AE1"/>
    <w:rsid w:val="009374A3"/>
    <w:rsid w:val="009404B1"/>
    <w:rsid w:val="00955331"/>
    <w:rsid w:val="00964578"/>
    <w:rsid w:val="00965EB3"/>
    <w:rsid w:val="0097264C"/>
    <w:rsid w:val="00973D26"/>
    <w:rsid w:val="00981A04"/>
    <w:rsid w:val="00982AFF"/>
    <w:rsid w:val="009856D7"/>
    <w:rsid w:val="009A6A58"/>
    <w:rsid w:val="009A7D4B"/>
    <w:rsid w:val="009B0691"/>
    <w:rsid w:val="009C11E1"/>
    <w:rsid w:val="009C2794"/>
    <w:rsid w:val="009C44D5"/>
    <w:rsid w:val="009C58E3"/>
    <w:rsid w:val="009C5927"/>
    <w:rsid w:val="009D3048"/>
    <w:rsid w:val="009D5A9C"/>
    <w:rsid w:val="009D685E"/>
    <w:rsid w:val="009E047A"/>
    <w:rsid w:val="009E06A2"/>
    <w:rsid w:val="009E6714"/>
    <w:rsid w:val="009F07E9"/>
    <w:rsid w:val="009F32AD"/>
    <w:rsid w:val="009F384D"/>
    <w:rsid w:val="009F5F20"/>
    <w:rsid w:val="00A12AEC"/>
    <w:rsid w:val="00A13AB6"/>
    <w:rsid w:val="00A14FE4"/>
    <w:rsid w:val="00A20841"/>
    <w:rsid w:val="00A21193"/>
    <w:rsid w:val="00A229FF"/>
    <w:rsid w:val="00A2537A"/>
    <w:rsid w:val="00A26218"/>
    <w:rsid w:val="00A26CD9"/>
    <w:rsid w:val="00A325AE"/>
    <w:rsid w:val="00A35BCB"/>
    <w:rsid w:val="00A44A3A"/>
    <w:rsid w:val="00A47863"/>
    <w:rsid w:val="00A50A9C"/>
    <w:rsid w:val="00A52B71"/>
    <w:rsid w:val="00A54F58"/>
    <w:rsid w:val="00A55259"/>
    <w:rsid w:val="00A5577B"/>
    <w:rsid w:val="00A63B7A"/>
    <w:rsid w:val="00A72F8D"/>
    <w:rsid w:val="00A73DE0"/>
    <w:rsid w:val="00A742FA"/>
    <w:rsid w:val="00A861F3"/>
    <w:rsid w:val="00A879B9"/>
    <w:rsid w:val="00A90D70"/>
    <w:rsid w:val="00A95055"/>
    <w:rsid w:val="00A958D9"/>
    <w:rsid w:val="00A95D00"/>
    <w:rsid w:val="00AA1BE8"/>
    <w:rsid w:val="00AA3776"/>
    <w:rsid w:val="00AA3847"/>
    <w:rsid w:val="00AA3F02"/>
    <w:rsid w:val="00AB2398"/>
    <w:rsid w:val="00AB3685"/>
    <w:rsid w:val="00AB6AE8"/>
    <w:rsid w:val="00AB7BBA"/>
    <w:rsid w:val="00AC0D92"/>
    <w:rsid w:val="00AC6153"/>
    <w:rsid w:val="00AD3255"/>
    <w:rsid w:val="00AD741E"/>
    <w:rsid w:val="00AE3A72"/>
    <w:rsid w:val="00AE5D46"/>
    <w:rsid w:val="00AF416D"/>
    <w:rsid w:val="00AF53E4"/>
    <w:rsid w:val="00AF6456"/>
    <w:rsid w:val="00AF6CD3"/>
    <w:rsid w:val="00B03A10"/>
    <w:rsid w:val="00B042CF"/>
    <w:rsid w:val="00B105F4"/>
    <w:rsid w:val="00B10827"/>
    <w:rsid w:val="00B12D87"/>
    <w:rsid w:val="00B14BA7"/>
    <w:rsid w:val="00B14CCB"/>
    <w:rsid w:val="00B16A62"/>
    <w:rsid w:val="00B24F9C"/>
    <w:rsid w:val="00B252C3"/>
    <w:rsid w:val="00B266BF"/>
    <w:rsid w:val="00B276FB"/>
    <w:rsid w:val="00B304C2"/>
    <w:rsid w:val="00B30A1D"/>
    <w:rsid w:val="00B330A1"/>
    <w:rsid w:val="00B330BD"/>
    <w:rsid w:val="00B3325C"/>
    <w:rsid w:val="00B345EE"/>
    <w:rsid w:val="00B4344F"/>
    <w:rsid w:val="00B43712"/>
    <w:rsid w:val="00B45E39"/>
    <w:rsid w:val="00B479BC"/>
    <w:rsid w:val="00B51A60"/>
    <w:rsid w:val="00B527B7"/>
    <w:rsid w:val="00B52ADB"/>
    <w:rsid w:val="00B53CD8"/>
    <w:rsid w:val="00B5644B"/>
    <w:rsid w:val="00B60A16"/>
    <w:rsid w:val="00B649D8"/>
    <w:rsid w:val="00B64D63"/>
    <w:rsid w:val="00B6539C"/>
    <w:rsid w:val="00B676A9"/>
    <w:rsid w:val="00B74DF2"/>
    <w:rsid w:val="00B773C3"/>
    <w:rsid w:val="00B8557C"/>
    <w:rsid w:val="00B9164C"/>
    <w:rsid w:val="00B978B6"/>
    <w:rsid w:val="00BA2431"/>
    <w:rsid w:val="00BA3F2D"/>
    <w:rsid w:val="00BA57F5"/>
    <w:rsid w:val="00BB3059"/>
    <w:rsid w:val="00BC1F5E"/>
    <w:rsid w:val="00BC21BC"/>
    <w:rsid w:val="00BD78FB"/>
    <w:rsid w:val="00BE105B"/>
    <w:rsid w:val="00BE13E1"/>
    <w:rsid w:val="00BE2276"/>
    <w:rsid w:val="00BE634B"/>
    <w:rsid w:val="00BE787E"/>
    <w:rsid w:val="00BF2730"/>
    <w:rsid w:val="00BF4407"/>
    <w:rsid w:val="00BF5367"/>
    <w:rsid w:val="00BF7752"/>
    <w:rsid w:val="00C00274"/>
    <w:rsid w:val="00C00777"/>
    <w:rsid w:val="00C02CA4"/>
    <w:rsid w:val="00C050B7"/>
    <w:rsid w:val="00C100CE"/>
    <w:rsid w:val="00C11385"/>
    <w:rsid w:val="00C132AF"/>
    <w:rsid w:val="00C13874"/>
    <w:rsid w:val="00C22076"/>
    <w:rsid w:val="00C25EDA"/>
    <w:rsid w:val="00C3013A"/>
    <w:rsid w:val="00C35528"/>
    <w:rsid w:val="00C37BA2"/>
    <w:rsid w:val="00C409CE"/>
    <w:rsid w:val="00C44158"/>
    <w:rsid w:val="00C44216"/>
    <w:rsid w:val="00C50B6C"/>
    <w:rsid w:val="00C60D43"/>
    <w:rsid w:val="00C61172"/>
    <w:rsid w:val="00C62F50"/>
    <w:rsid w:val="00C63799"/>
    <w:rsid w:val="00C649F1"/>
    <w:rsid w:val="00C64AEB"/>
    <w:rsid w:val="00C84C46"/>
    <w:rsid w:val="00C85805"/>
    <w:rsid w:val="00C9336C"/>
    <w:rsid w:val="00C93D5E"/>
    <w:rsid w:val="00C94AAD"/>
    <w:rsid w:val="00C94B09"/>
    <w:rsid w:val="00C95743"/>
    <w:rsid w:val="00C95883"/>
    <w:rsid w:val="00CA04BB"/>
    <w:rsid w:val="00CA469D"/>
    <w:rsid w:val="00CA5A3D"/>
    <w:rsid w:val="00CA65C7"/>
    <w:rsid w:val="00CA697B"/>
    <w:rsid w:val="00CA7A37"/>
    <w:rsid w:val="00CB23BF"/>
    <w:rsid w:val="00CB652B"/>
    <w:rsid w:val="00CB7148"/>
    <w:rsid w:val="00CC2437"/>
    <w:rsid w:val="00CC3BC7"/>
    <w:rsid w:val="00CD1B72"/>
    <w:rsid w:val="00CD1FCE"/>
    <w:rsid w:val="00CD5DB6"/>
    <w:rsid w:val="00CD69C4"/>
    <w:rsid w:val="00CD7B6F"/>
    <w:rsid w:val="00CE082F"/>
    <w:rsid w:val="00CE2701"/>
    <w:rsid w:val="00CF2D68"/>
    <w:rsid w:val="00CF4597"/>
    <w:rsid w:val="00D04656"/>
    <w:rsid w:val="00D04DBD"/>
    <w:rsid w:val="00D053F3"/>
    <w:rsid w:val="00D069FA"/>
    <w:rsid w:val="00D1594D"/>
    <w:rsid w:val="00D16CE4"/>
    <w:rsid w:val="00D17EB5"/>
    <w:rsid w:val="00D203C1"/>
    <w:rsid w:val="00D2048B"/>
    <w:rsid w:val="00D23996"/>
    <w:rsid w:val="00D24EDE"/>
    <w:rsid w:val="00D25107"/>
    <w:rsid w:val="00D33A11"/>
    <w:rsid w:val="00D3565D"/>
    <w:rsid w:val="00D356A4"/>
    <w:rsid w:val="00D365BA"/>
    <w:rsid w:val="00D50CF9"/>
    <w:rsid w:val="00D51A97"/>
    <w:rsid w:val="00D54B62"/>
    <w:rsid w:val="00D7308C"/>
    <w:rsid w:val="00D74050"/>
    <w:rsid w:val="00D75817"/>
    <w:rsid w:val="00D77C69"/>
    <w:rsid w:val="00D8149A"/>
    <w:rsid w:val="00D83024"/>
    <w:rsid w:val="00D831F3"/>
    <w:rsid w:val="00D854B5"/>
    <w:rsid w:val="00D9369A"/>
    <w:rsid w:val="00D94437"/>
    <w:rsid w:val="00D94700"/>
    <w:rsid w:val="00D96809"/>
    <w:rsid w:val="00D9709A"/>
    <w:rsid w:val="00DA2AB3"/>
    <w:rsid w:val="00DA3052"/>
    <w:rsid w:val="00DA45B4"/>
    <w:rsid w:val="00DA6E69"/>
    <w:rsid w:val="00DB27F8"/>
    <w:rsid w:val="00DC3091"/>
    <w:rsid w:val="00DD36C2"/>
    <w:rsid w:val="00DD6A5F"/>
    <w:rsid w:val="00DD7B65"/>
    <w:rsid w:val="00DE094F"/>
    <w:rsid w:val="00DE14FC"/>
    <w:rsid w:val="00DE1EAF"/>
    <w:rsid w:val="00DE3FBE"/>
    <w:rsid w:val="00DE507D"/>
    <w:rsid w:val="00DE76FE"/>
    <w:rsid w:val="00DF6478"/>
    <w:rsid w:val="00DF72A8"/>
    <w:rsid w:val="00DF79E7"/>
    <w:rsid w:val="00E00EB6"/>
    <w:rsid w:val="00E11624"/>
    <w:rsid w:val="00E133CD"/>
    <w:rsid w:val="00E134D7"/>
    <w:rsid w:val="00E20E7D"/>
    <w:rsid w:val="00E21A71"/>
    <w:rsid w:val="00E22282"/>
    <w:rsid w:val="00E26404"/>
    <w:rsid w:val="00E34A6D"/>
    <w:rsid w:val="00E404A4"/>
    <w:rsid w:val="00E421BC"/>
    <w:rsid w:val="00E509F6"/>
    <w:rsid w:val="00E634AF"/>
    <w:rsid w:val="00E71A11"/>
    <w:rsid w:val="00E727FA"/>
    <w:rsid w:val="00E77E76"/>
    <w:rsid w:val="00E865B5"/>
    <w:rsid w:val="00E920EF"/>
    <w:rsid w:val="00EA31B7"/>
    <w:rsid w:val="00EA372A"/>
    <w:rsid w:val="00EB1AEB"/>
    <w:rsid w:val="00EC6864"/>
    <w:rsid w:val="00ED19AE"/>
    <w:rsid w:val="00ED3377"/>
    <w:rsid w:val="00ED6B4D"/>
    <w:rsid w:val="00EF20FE"/>
    <w:rsid w:val="00EF3247"/>
    <w:rsid w:val="00EF422F"/>
    <w:rsid w:val="00EF63C5"/>
    <w:rsid w:val="00EF731D"/>
    <w:rsid w:val="00F03D11"/>
    <w:rsid w:val="00F05BB0"/>
    <w:rsid w:val="00F07B9A"/>
    <w:rsid w:val="00F07FC6"/>
    <w:rsid w:val="00F13550"/>
    <w:rsid w:val="00F20ED5"/>
    <w:rsid w:val="00F22224"/>
    <w:rsid w:val="00F272FF"/>
    <w:rsid w:val="00F332FF"/>
    <w:rsid w:val="00F37D58"/>
    <w:rsid w:val="00F41A29"/>
    <w:rsid w:val="00F41D3C"/>
    <w:rsid w:val="00F44612"/>
    <w:rsid w:val="00F52135"/>
    <w:rsid w:val="00F541B1"/>
    <w:rsid w:val="00F57116"/>
    <w:rsid w:val="00F64874"/>
    <w:rsid w:val="00F654CE"/>
    <w:rsid w:val="00F674A8"/>
    <w:rsid w:val="00F71666"/>
    <w:rsid w:val="00F7546D"/>
    <w:rsid w:val="00F75EB8"/>
    <w:rsid w:val="00F8186C"/>
    <w:rsid w:val="00F83291"/>
    <w:rsid w:val="00F86B90"/>
    <w:rsid w:val="00F90069"/>
    <w:rsid w:val="00F90BCC"/>
    <w:rsid w:val="00F91700"/>
    <w:rsid w:val="00F94B7F"/>
    <w:rsid w:val="00F95623"/>
    <w:rsid w:val="00F9608D"/>
    <w:rsid w:val="00F96E79"/>
    <w:rsid w:val="00FA29B5"/>
    <w:rsid w:val="00FA3155"/>
    <w:rsid w:val="00FA5A98"/>
    <w:rsid w:val="00FB1000"/>
    <w:rsid w:val="00FC6A7A"/>
    <w:rsid w:val="00FC7BC5"/>
    <w:rsid w:val="00FD280F"/>
    <w:rsid w:val="00FD607F"/>
    <w:rsid w:val="00FD6184"/>
    <w:rsid w:val="00FE4FA8"/>
    <w:rsid w:val="00FF1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1B3EC1"/>
  <w15:docId w15:val="{D6E0F170-411C-485A-860A-A02A4460D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CE1"/>
  </w:style>
  <w:style w:type="paragraph" w:styleId="Heading1">
    <w:name w:val="heading 1"/>
    <w:basedOn w:val="Normal"/>
    <w:next w:val="Normal"/>
    <w:link w:val="Heading1Char"/>
    <w:uiPriority w:val="9"/>
    <w:qFormat/>
    <w:rsid w:val="00A13AB6"/>
    <w:pPr>
      <w:keepNext/>
      <w:numPr>
        <w:numId w:val="34"/>
      </w:numPr>
      <w:spacing w:before="240" w:after="60" w:line="240" w:lineRule="auto"/>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A13AB6"/>
    <w:pPr>
      <w:keepNext/>
      <w:numPr>
        <w:ilvl w:val="1"/>
        <w:numId w:val="34"/>
      </w:numPr>
      <w:spacing w:before="240" w:after="60" w:line="24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A13AB6"/>
    <w:pPr>
      <w:keepNext/>
      <w:numPr>
        <w:ilvl w:val="2"/>
        <w:numId w:val="34"/>
      </w:numPr>
      <w:spacing w:before="240" w:after="60" w:line="240" w:lineRule="auto"/>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A13AB6"/>
    <w:pPr>
      <w:keepNext/>
      <w:numPr>
        <w:ilvl w:val="3"/>
        <w:numId w:val="34"/>
      </w:numPr>
      <w:spacing w:before="240" w:after="60" w:line="240" w:lineRule="auto"/>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A13AB6"/>
    <w:pPr>
      <w:numPr>
        <w:ilvl w:val="4"/>
        <w:numId w:val="34"/>
      </w:numPr>
      <w:spacing w:before="240" w:after="60" w:line="240" w:lineRule="auto"/>
      <w:outlineLvl w:val="4"/>
    </w:pPr>
    <w:rPr>
      <w:rFonts w:eastAsiaTheme="minorEastAsia"/>
      <w:b/>
      <w:bCs/>
      <w:i/>
      <w:iCs/>
      <w:sz w:val="26"/>
      <w:szCs w:val="26"/>
    </w:rPr>
  </w:style>
  <w:style w:type="paragraph" w:styleId="Heading6">
    <w:name w:val="heading 6"/>
    <w:basedOn w:val="Normal"/>
    <w:next w:val="Normal"/>
    <w:link w:val="Heading6Char"/>
    <w:qFormat/>
    <w:rsid w:val="00A13AB6"/>
    <w:pPr>
      <w:numPr>
        <w:ilvl w:val="5"/>
        <w:numId w:val="34"/>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A13AB6"/>
    <w:pPr>
      <w:numPr>
        <w:ilvl w:val="6"/>
        <w:numId w:val="34"/>
      </w:numPr>
      <w:spacing w:before="240" w:after="60" w:line="240" w:lineRule="auto"/>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A13AB6"/>
    <w:pPr>
      <w:numPr>
        <w:ilvl w:val="7"/>
        <w:numId w:val="34"/>
      </w:numPr>
      <w:spacing w:before="240" w:after="60" w:line="240" w:lineRule="auto"/>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A13AB6"/>
    <w:pPr>
      <w:numPr>
        <w:ilvl w:val="8"/>
        <w:numId w:val="34"/>
      </w:numPr>
      <w:spacing w:before="240" w:after="60" w:line="240" w:lineRule="auto"/>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6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16835"/>
    <w:pPr>
      <w:spacing w:after="0" w:line="240" w:lineRule="auto"/>
    </w:pPr>
  </w:style>
  <w:style w:type="character" w:styleId="CommentReference">
    <w:name w:val="annotation reference"/>
    <w:basedOn w:val="DefaultParagraphFont"/>
    <w:uiPriority w:val="99"/>
    <w:semiHidden/>
    <w:unhideWhenUsed/>
    <w:rsid w:val="00B252C3"/>
    <w:rPr>
      <w:sz w:val="16"/>
      <w:szCs w:val="16"/>
    </w:rPr>
  </w:style>
  <w:style w:type="paragraph" w:styleId="CommentText">
    <w:name w:val="annotation text"/>
    <w:basedOn w:val="Normal"/>
    <w:link w:val="CommentTextChar"/>
    <w:uiPriority w:val="99"/>
    <w:unhideWhenUsed/>
    <w:rsid w:val="00B252C3"/>
    <w:pPr>
      <w:spacing w:line="240" w:lineRule="auto"/>
    </w:pPr>
    <w:rPr>
      <w:sz w:val="20"/>
      <w:szCs w:val="20"/>
    </w:rPr>
  </w:style>
  <w:style w:type="character" w:customStyle="1" w:styleId="CommentTextChar">
    <w:name w:val="Comment Text Char"/>
    <w:basedOn w:val="DefaultParagraphFont"/>
    <w:link w:val="CommentText"/>
    <w:uiPriority w:val="99"/>
    <w:rsid w:val="00B252C3"/>
    <w:rPr>
      <w:sz w:val="20"/>
      <w:szCs w:val="20"/>
    </w:rPr>
  </w:style>
  <w:style w:type="character" w:styleId="Hyperlink">
    <w:name w:val="Hyperlink"/>
    <w:basedOn w:val="DefaultParagraphFont"/>
    <w:uiPriority w:val="99"/>
    <w:unhideWhenUsed/>
    <w:rsid w:val="00B252C3"/>
    <w:rPr>
      <w:color w:val="0000FF" w:themeColor="hyperlink"/>
      <w:u w:val="single"/>
    </w:rPr>
  </w:style>
  <w:style w:type="paragraph" w:styleId="Header">
    <w:name w:val="header"/>
    <w:basedOn w:val="Normal"/>
    <w:link w:val="HeaderChar"/>
    <w:uiPriority w:val="99"/>
    <w:unhideWhenUsed/>
    <w:rsid w:val="00E727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7FA"/>
  </w:style>
  <w:style w:type="paragraph" w:styleId="Footer">
    <w:name w:val="footer"/>
    <w:basedOn w:val="Normal"/>
    <w:link w:val="FooterChar"/>
    <w:uiPriority w:val="99"/>
    <w:unhideWhenUsed/>
    <w:rsid w:val="00E727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7FA"/>
  </w:style>
  <w:style w:type="paragraph" w:styleId="ListParagraph">
    <w:name w:val="List Paragraph"/>
    <w:basedOn w:val="Normal"/>
    <w:uiPriority w:val="34"/>
    <w:qFormat/>
    <w:rsid w:val="00B304C2"/>
    <w:pPr>
      <w:ind w:left="720"/>
      <w:contextualSpacing/>
    </w:pPr>
  </w:style>
  <w:style w:type="paragraph" w:styleId="CommentSubject">
    <w:name w:val="annotation subject"/>
    <w:basedOn w:val="CommentText"/>
    <w:next w:val="CommentText"/>
    <w:link w:val="CommentSubjectChar"/>
    <w:uiPriority w:val="99"/>
    <w:semiHidden/>
    <w:unhideWhenUsed/>
    <w:rsid w:val="007F5C57"/>
    <w:rPr>
      <w:b/>
      <w:bCs/>
    </w:rPr>
  </w:style>
  <w:style w:type="character" w:customStyle="1" w:styleId="CommentSubjectChar">
    <w:name w:val="Comment Subject Char"/>
    <w:basedOn w:val="CommentTextChar"/>
    <w:link w:val="CommentSubject"/>
    <w:uiPriority w:val="99"/>
    <w:semiHidden/>
    <w:rsid w:val="007F5C57"/>
    <w:rPr>
      <w:b/>
      <w:bCs/>
      <w:sz w:val="20"/>
      <w:szCs w:val="20"/>
    </w:rPr>
  </w:style>
  <w:style w:type="paragraph" w:styleId="BalloonText">
    <w:name w:val="Balloon Text"/>
    <w:basedOn w:val="Normal"/>
    <w:link w:val="BalloonTextChar"/>
    <w:uiPriority w:val="99"/>
    <w:semiHidden/>
    <w:unhideWhenUsed/>
    <w:rsid w:val="007F5C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C57"/>
    <w:rPr>
      <w:rFonts w:ascii="Tahoma" w:hAnsi="Tahoma" w:cs="Tahoma"/>
      <w:sz w:val="16"/>
      <w:szCs w:val="16"/>
    </w:rPr>
  </w:style>
  <w:style w:type="paragraph" w:styleId="Revision">
    <w:name w:val="Revision"/>
    <w:hidden/>
    <w:uiPriority w:val="99"/>
    <w:semiHidden/>
    <w:rsid w:val="00B53CD8"/>
    <w:pPr>
      <w:spacing w:after="0" w:line="240" w:lineRule="auto"/>
    </w:pPr>
  </w:style>
  <w:style w:type="character" w:customStyle="1" w:styleId="fce7e7532a-16de-4d25-85df-3c9887b80ee3-4">
    <w:name w:val="fce7e7532a-16de-4d25-85df-3c9887b80ee3-4"/>
    <w:basedOn w:val="DefaultParagraphFont"/>
    <w:rsid w:val="003B40AD"/>
  </w:style>
  <w:style w:type="paragraph" w:styleId="NormalWeb">
    <w:name w:val="Normal (Web)"/>
    <w:basedOn w:val="Normal"/>
    <w:uiPriority w:val="99"/>
    <w:semiHidden/>
    <w:unhideWhenUsed/>
    <w:rsid w:val="00A13AB6"/>
    <w:pPr>
      <w:spacing w:after="160" w:line="259" w:lineRule="auto"/>
    </w:pPr>
    <w:rPr>
      <w:rFonts w:ascii="Times New Roman" w:hAnsi="Times New Roman" w:cs="Times New Roman"/>
      <w:kern w:val="2"/>
      <w:sz w:val="24"/>
      <w:szCs w:val="24"/>
      <w14:ligatures w14:val="standardContextual"/>
    </w:rPr>
  </w:style>
  <w:style w:type="character" w:customStyle="1" w:styleId="Heading1Char">
    <w:name w:val="Heading 1 Char"/>
    <w:basedOn w:val="DefaultParagraphFont"/>
    <w:link w:val="Heading1"/>
    <w:uiPriority w:val="9"/>
    <w:rsid w:val="00A13AB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A13AB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A13AB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A13AB6"/>
    <w:rPr>
      <w:rFonts w:eastAsiaTheme="minorEastAsia"/>
      <w:b/>
      <w:bCs/>
      <w:sz w:val="28"/>
      <w:szCs w:val="28"/>
    </w:rPr>
  </w:style>
  <w:style w:type="character" w:customStyle="1" w:styleId="Heading5Char">
    <w:name w:val="Heading 5 Char"/>
    <w:basedOn w:val="DefaultParagraphFont"/>
    <w:link w:val="Heading5"/>
    <w:uiPriority w:val="9"/>
    <w:semiHidden/>
    <w:rsid w:val="00A13AB6"/>
    <w:rPr>
      <w:rFonts w:eastAsiaTheme="minorEastAsia"/>
      <w:b/>
      <w:bCs/>
      <w:i/>
      <w:iCs/>
      <w:sz w:val="26"/>
      <w:szCs w:val="26"/>
    </w:rPr>
  </w:style>
  <w:style w:type="character" w:customStyle="1" w:styleId="Heading6Char">
    <w:name w:val="Heading 6 Char"/>
    <w:basedOn w:val="DefaultParagraphFont"/>
    <w:link w:val="Heading6"/>
    <w:rsid w:val="00A13AB6"/>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A13AB6"/>
    <w:rPr>
      <w:rFonts w:eastAsiaTheme="minorEastAsia"/>
      <w:sz w:val="24"/>
      <w:szCs w:val="24"/>
    </w:rPr>
  </w:style>
  <w:style w:type="character" w:customStyle="1" w:styleId="Heading8Char">
    <w:name w:val="Heading 8 Char"/>
    <w:basedOn w:val="DefaultParagraphFont"/>
    <w:link w:val="Heading8"/>
    <w:uiPriority w:val="9"/>
    <w:semiHidden/>
    <w:rsid w:val="00A13AB6"/>
    <w:rPr>
      <w:rFonts w:eastAsiaTheme="minorEastAsia"/>
      <w:i/>
      <w:iCs/>
      <w:sz w:val="24"/>
      <w:szCs w:val="24"/>
    </w:rPr>
  </w:style>
  <w:style w:type="character" w:customStyle="1" w:styleId="Heading9Char">
    <w:name w:val="Heading 9 Char"/>
    <w:basedOn w:val="DefaultParagraphFont"/>
    <w:link w:val="Heading9"/>
    <w:uiPriority w:val="9"/>
    <w:semiHidden/>
    <w:rsid w:val="00A13AB6"/>
    <w:rPr>
      <w:rFonts w:asciiTheme="majorHAnsi" w:eastAsiaTheme="majorEastAsia" w:hAnsiTheme="majorHAnsi" w:cstheme="majorBidi"/>
    </w:rPr>
  </w:style>
  <w:style w:type="character" w:styleId="UnresolvedMention">
    <w:name w:val="Unresolved Mention"/>
    <w:basedOn w:val="DefaultParagraphFont"/>
    <w:uiPriority w:val="99"/>
    <w:semiHidden/>
    <w:unhideWhenUsed/>
    <w:rsid w:val="00DA6E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2573459">
      <w:bodyDiv w:val="1"/>
      <w:marLeft w:val="0"/>
      <w:marRight w:val="0"/>
      <w:marTop w:val="0"/>
      <w:marBottom w:val="0"/>
      <w:divBdr>
        <w:top w:val="none" w:sz="0" w:space="0" w:color="auto"/>
        <w:left w:val="none" w:sz="0" w:space="0" w:color="auto"/>
        <w:bottom w:val="none" w:sz="0" w:space="0" w:color="auto"/>
        <w:right w:val="none" w:sz="0" w:space="0" w:color="auto"/>
      </w:divBdr>
      <w:divsChild>
        <w:div w:id="492260567">
          <w:marLeft w:val="547"/>
          <w:marRight w:val="0"/>
          <w:marTop w:val="154"/>
          <w:marBottom w:val="0"/>
          <w:divBdr>
            <w:top w:val="none" w:sz="0" w:space="0" w:color="auto"/>
            <w:left w:val="none" w:sz="0" w:space="0" w:color="auto"/>
            <w:bottom w:val="none" w:sz="0" w:space="0" w:color="auto"/>
            <w:right w:val="none" w:sz="0" w:space="0" w:color="auto"/>
          </w:divBdr>
        </w:div>
        <w:div w:id="1828283524">
          <w:marLeft w:val="547"/>
          <w:marRight w:val="0"/>
          <w:marTop w:val="154"/>
          <w:marBottom w:val="0"/>
          <w:divBdr>
            <w:top w:val="none" w:sz="0" w:space="0" w:color="auto"/>
            <w:left w:val="none" w:sz="0" w:space="0" w:color="auto"/>
            <w:bottom w:val="none" w:sz="0" w:space="0" w:color="auto"/>
            <w:right w:val="none" w:sz="0" w:space="0" w:color="auto"/>
          </w:divBdr>
        </w:div>
        <w:div w:id="809859080">
          <w:marLeft w:val="547"/>
          <w:marRight w:val="0"/>
          <w:marTop w:val="154"/>
          <w:marBottom w:val="0"/>
          <w:divBdr>
            <w:top w:val="none" w:sz="0" w:space="0" w:color="auto"/>
            <w:left w:val="none" w:sz="0" w:space="0" w:color="auto"/>
            <w:bottom w:val="none" w:sz="0" w:space="0" w:color="auto"/>
            <w:right w:val="none" w:sz="0" w:space="0" w:color="auto"/>
          </w:divBdr>
        </w:div>
        <w:div w:id="1705905155">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33</Pages>
  <Words>13036</Words>
  <Characters>74308</Characters>
  <Application>Microsoft Office Word</Application>
  <DocSecurity>0</DocSecurity>
  <Lines>619</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Smith (Plansmith Corporation)</dc:creator>
  <cp:lastModifiedBy>Jenny Kane</cp:lastModifiedBy>
  <cp:revision>6</cp:revision>
  <cp:lastPrinted>2019-03-06T15:56:00Z</cp:lastPrinted>
  <dcterms:created xsi:type="dcterms:W3CDTF">2025-06-02T20:15:00Z</dcterms:created>
  <dcterms:modified xsi:type="dcterms:W3CDTF">2025-06-02T21:20:00Z</dcterms:modified>
</cp:coreProperties>
</file>