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1855A" w14:textId="582CB11B" w:rsidR="00C80A6D" w:rsidRDefault="00E71496" w:rsidP="009C72E0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34C3" wp14:editId="1968EEEB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6698672" cy="0"/>
                <wp:effectExtent l="0" t="0" r="0" b="0"/>
                <wp:wrapNone/>
                <wp:docPr id="465142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BB8C5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pt,15.8pt" to="522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9531E0">
        <w:rPr>
          <w:rFonts w:ascii="Segoe UI" w:hAnsi="Segoe UI" w:cs="Segoe UI"/>
          <w:b/>
          <w:bCs/>
          <w:sz w:val="24"/>
          <w:szCs w:val="24"/>
        </w:rPr>
        <w:t>Systematic Rotation Through Tariff Volatility</w:t>
      </w:r>
    </w:p>
    <w:p w14:paraId="797948D0" w14:textId="0E5E62F1" w:rsidR="00E71496" w:rsidRDefault="00621B8F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Summary</w:t>
      </w:r>
    </w:p>
    <w:p w14:paraId="5B6794F2" w14:textId="67B7A998" w:rsidR="006C1269" w:rsidRPr="006C1269" w:rsidRDefault="006C1269" w:rsidP="006C1269">
      <w:pPr>
        <w:rPr>
          <w:rFonts w:ascii="Segoe UI" w:hAnsi="Segoe UI" w:cs="Segoe UI"/>
          <w:sz w:val="20"/>
          <w:szCs w:val="20"/>
        </w:rPr>
      </w:pPr>
      <w:r w:rsidRPr="006C1269">
        <w:rPr>
          <w:rFonts w:ascii="Segoe UI" w:hAnsi="Segoe UI" w:cs="Segoe UI"/>
          <w:sz w:val="20"/>
          <w:szCs w:val="20"/>
        </w:rPr>
        <w:t>The strategy systematically rotates into the 3x leveraged long ETF,</w:t>
      </w:r>
      <w:r w:rsidRPr="00070A90">
        <w:rPr>
          <w:rFonts w:ascii="Segoe UI" w:hAnsi="Segoe UI" w:cs="Segoe UI"/>
          <w:sz w:val="20"/>
          <w:szCs w:val="20"/>
        </w:rPr>
        <w:t xml:space="preserve"> </w:t>
      </w:r>
      <w:r w:rsidRPr="005D2BD8">
        <w:rPr>
          <w:rFonts w:ascii="Segoe UI" w:hAnsi="Segoe UI" w:cs="Segoe UI"/>
          <w:i/>
          <w:iCs/>
          <w:sz w:val="20"/>
          <w:szCs w:val="20"/>
        </w:rPr>
        <w:t>SPXL</w:t>
      </w:r>
      <w:r w:rsidRPr="006C1269">
        <w:rPr>
          <w:rFonts w:ascii="Segoe UI" w:hAnsi="Segoe UI" w:cs="Segoe UI"/>
          <w:sz w:val="20"/>
          <w:szCs w:val="20"/>
        </w:rPr>
        <w:t>, when its trading price is above a selected Moving Average (MA) threshold [10, 20, 50, 100, 200] and exits when the price falls below the respective MA.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C1269">
        <w:rPr>
          <w:rFonts w:ascii="Segoe UI" w:hAnsi="Segoe UI" w:cs="Segoe UI"/>
          <w:sz w:val="20"/>
          <w:szCs w:val="20"/>
        </w:rPr>
        <w:t>Given the current environment of heightened market volatility</w:t>
      </w:r>
      <w:r>
        <w:rPr>
          <w:rFonts w:ascii="Segoe UI" w:hAnsi="Segoe UI" w:cs="Segoe UI"/>
          <w:sz w:val="20"/>
          <w:szCs w:val="20"/>
        </w:rPr>
        <w:t>,</w:t>
      </w:r>
      <w:r w:rsidRPr="006C1269">
        <w:rPr>
          <w:rFonts w:ascii="Segoe UI" w:hAnsi="Segoe UI" w:cs="Segoe UI"/>
          <w:sz w:val="20"/>
          <w:szCs w:val="20"/>
        </w:rPr>
        <w:t xml:space="preserve"> driven by uncertainty surrounding tariff policies introduced by the Trump administration</w:t>
      </w:r>
      <w:r>
        <w:rPr>
          <w:rFonts w:ascii="Segoe UI" w:hAnsi="Segoe UI" w:cs="Segoe UI"/>
          <w:sz w:val="20"/>
          <w:szCs w:val="20"/>
        </w:rPr>
        <w:t>,</w:t>
      </w:r>
      <w:r w:rsidRPr="006C1269">
        <w:rPr>
          <w:rFonts w:ascii="Segoe UI" w:hAnsi="Segoe UI" w:cs="Segoe UI"/>
          <w:sz w:val="20"/>
          <w:szCs w:val="20"/>
        </w:rPr>
        <w:t xml:space="preserve"> I conducted a </w:t>
      </w:r>
      <w:r w:rsidR="00070A90" w:rsidRPr="006C1269">
        <w:rPr>
          <w:rFonts w:ascii="Segoe UI" w:hAnsi="Segoe UI" w:cs="Segoe UI"/>
          <w:sz w:val="20"/>
          <w:szCs w:val="20"/>
        </w:rPr>
        <w:t>back test</w:t>
      </w:r>
      <w:r w:rsidRPr="006C1269">
        <w:rPr>
          <w:rFonts w:ascii="Segoe UI" w:hAnsi="Segoe UI" w:cs="Segoe UI"/>
          <w:sz w:val="20"/>
          <w:szCs w:val="20"/>
        </w:rPr>
        <w:t xml:space="preserve"> of the strategy over a 46-day period, from 19 February 2025 to 25 April 2025, capturing the escalation of trade tensions and associated market reactions.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C1269">
        <w:rPr>
          <w:rFonts w:ascii="Segoe UI" w:hAnsi="Segoe UI" w:cs="Segoe UI"/>
          <w:sz w:val="20"/>
          <w:szCs w:val="20"/>
        </w:rPr>
        <w:t xml:space="preserve">Transaction costs and the average bid-ask spread of SPXL have been incorporated into the </w:t>
      </w:r>
      <w:r w:rsidR="00070A90" w:rsidRPr="006C1269">
        <w:rPr>
          <w:rFonts w:ascii="Segoe UI" w:hAnsi="Segoe UI" w:cs="Segoe UI"/>
          <w:sz w:val="20"/>
          <w:szCs w:val="20"/>
        </w:rPr>
        <w:t>back test</w:t>
      </w:r>
      <w:r w:rsidRPr="006C1269">
        <w:rPr>
          <w:rFonts w:ascii="Segoe UI" w:hAnsi="Segoe UI" w:cs="Segoe UI"/>
          <w:sz w:val="20"/>
          <w:szCs w:val="20"/>
        </w:rPr>
        <w:t xml:space="preserve"> to reflect realistic trading conditions.</w:t>
      </w:r>
    </w:p>
    <w:p w14:paraId="131FBC36" w14:textId="1AC2BAFF" w:rsidR="00E71496" w:rsidRDefault="006C1269">
      <w:pPr>
        <w:rPr>
          <w:rFonts w:ascii="Segoe UI" w:hAnsi="Segoe UI" w:cs="Segoe UI"/>
          <w:sz w:val="20"/>
          <w:szCs w:val="20"/>
        </w:rPr>
      </w:pPr>
      <w:r w:rsidRPr="006C1269">
        <w:rPr>
          <w:rFonts w:ascii="Segoe UI" w:hAnsi="Segoe UI" w:cs="Segoe UI"/>
          <w:sz w:val="20"/>
          <w:szCs w:val="20"/>
        </w:rPr>
        <w:t>Below are the performance results for the MA20 variant of the strategy, along with a Monte Carlo simulation illustrating the distribution of potential cumulative returns under resampled return scenarios.</w:t>
      </w:r>
    </w:p>
    <w:p w14:paraId="164FE30F" w14:textId="129278C4" w:rsidR="009A4729" w:rsidRDefault="009A4729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Performance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349"/>
        <w:gridCol w:w="2569"/>
        <w:gridCol w:w="2569"/>
      </w:tblGrid>
      <w:tr w:rsidR="005B3278" w14:paraId="106A1E90" w14:textId="77777777" w:rsidTr="00F972C7">
        <w:trPr>
          <w:trHeight w:val="297"/>
        </w:trPr>
        <w:tc>
          <w:tcPr>
            <w:tcW w:w="2640" w:type="dxa"/>
            <w:tcBorders>
              <w:top w:val="single" w:sz="4" w:space="0" w:color="auto"/>
              <w:bottom w:val="single" w:sz="12" w:space="0" w:color="auto"/>
            </w:tcBorders>
          </w:tcPr>
          <w:p w14:paraId="0F2F9265" w14:textId="77777777" w:rsidR="005B3278" w:rsidRDefault="005B3278" w:rsidP="00B5274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sz="4" w:space="0" w:color="auto"/>
              <w:bottom w:val="single" w:sz="12" w:space="0" w:color="auto"/>
            </w:tcBorders>
          </w:tcPr>
          <w:p w14:paraId="4DE501D6" w14:textId="10FAFE7A" w:rsidR="005B3278" w:rsidRDefault="005B3278" w:rsidP="00B5274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D140FD">
              <w:rPr>
                <w:rFonts w:ascii="Segoe UI" w:hAnsi="Segoe UI" w:cs="Segoe UI"/>
                <w:b/>
                <w:bCs/>
                <w:sz w:val="20"/>
                <w:szCs w:val="20"/>
              </w:rPr>
              <w:t>Strategy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12" w:space="0" w:color="auto"/>
            </w:tcBorders>
          </w:tcPr>
          <w:p w14:paraId="2F0FDDFF" w14:textId="2DA80B05" w:rsidR="005B3278" w:rsidRDefault="005B3278" w:rsidP="00B5274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Passive SPXL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12" w:space="0" w:color="auto"/>
            </w:tcBorders>
          </w:tcPr>
          <w:p w14:paraId="0EC4470C" w14:textId="1C34F76C" w:rsidR="005B3278" w:rsidRDefault="005B3278" w:rsidP="00B5274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Passive S</w:t>
            </w:r>
            <w:r w:rsidR="0086210F">
              <w:rPr>
                <w:rFonts w:ascii="Segoe UI" w:hAnsi="Segoe UI" w:cs="Segoe UI"/>
                <w:sz w:val="20"/>
                <w:szCs w:val="20"/>
              </w:rPr>
              <w:t>PX</w:t>
            </w:r>
          </w:p>
        </w:tc>
      </w:tr>
      <w:tr w:rsidR="005B3278" w14:paraId="4D97FF68" w14:textId="77777777" w:rsidTr="00F972C7">
        <w:trPr>
          <w:trHeight w:val="297"/>
        </w:trPr>
        <w:tc>
          <w:tcPr>
            <w:tcW w:w="2640" w:type="dxa"/>
            <w:tcBorders>
              <w:top w:val="single" w:sz="12" w:space="0" w:color="auto"/>
              <w:bottom w:val="single" w:sz="4" w:space="0" w:color="auto"/>
            </w:tcBorders>
          </w:tcPr>
          <w:p w14:paraId="5223391A" w14:textId="4010B508" w:rsidR="005B3278" w:rsidRDefault="005B3278" w:rsidP="005B327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Returns</w:t>
            </w:r>
          </w:p>
        </w:tc>
        <w:tc>
          <w:tcPr>
            <w:tcW w:w="234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2A4DC55" w14:textId="08014120" w:rsidR="005B3278" w:rsidRPr="00F45167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D140FD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19.87%</w:t>
            </w:r>
          </w:p>
        </w:tc>
        <w:tc>
          <w:tcPr>
            <w:tcW w:w="256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C527C87" w14:textId="10CD73A4" w:rsidR="005B3278" w:rsidRPr="00F45167" w:rsidRDefault="005B3278" w:rsidP="005B3278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-33.45%</w:t>
            </w:r>
          </w:p>
        </w:tc>
        <w:tc>
          <w:tcPr>
            <w:tcW w:w="256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38017F6" w14:textId="1AD2106D" w:rsidR="005B3278" w:rsidRPr="00F45167" w:rsidRDefault="005B3278" w:rsidP="005B3278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-10.08%</w:t>
            </w:r>
          </w:p>
        </w:tc>
      </w:tr>
      <w:tr w:rsidR="005B3278" w14:paraId="64B57F13" w14:textId="77777777" w:rsidTr="00F972C7">
        <w:trPr>
          <w:trHeight w:val="297"/>
        </w:trPr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14:paraId="5B2E07C1" w14:textId="62E7EC6E" w:rsidR="005B3278" w:rsidRDefault="005B3278" w:rsidP="005B327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Average Daily Returns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86C53F" w14:textId="332C21F2" w:rsidR="005B3278" w:rsidRPr="00F45167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D775D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0.54%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C6230" w14:textId="2274BC6B" w:rsidR="005B3278" w:rsidRPr="00BD775D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-0.67%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F9490" w14:textId="6B920EE0" w:rsidR="005B3278" w:rsidRPr="00BD775D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-0.21%</w:t>
            </w:r>
          </w:p>
        </w:tc>
      </w:tr>
      <w:tr w:rsidR="005B3278" w14:paraId="32A84649" w14:textId="77777777" w:rsidTr="00F972C7">
        <w:trPr>
          <w:trHeight w:val="297"/>
        </w:trPr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14:paraId="21D8F0A5" w14:textId="5592AABC" w:rsidR="005B3278" w:rsidRDefault="005B3278" w:rsidP="005B327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Standard Deviation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EDC37A" w14:textId="3F1F1908" w:rsidR="005B3278" w:rsidRPr="00BD775D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D775D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5.62%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949D45" w14:textId="7E5E864B" w:rsidR="005B3278" w:rsidRPr="00BD775D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D775D">
              <w:rPr>
                <w:rFonts w:ascii="Segoe UI" w:hAnsi="Segoe UI" w:cs="Segoe UI"/>
                <w:color w:val="000000"/>
                <w:sz w:val="20"/>
                <w:szCs w:val="20"/>
              </w:rPr>
              <w:t>6.71%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6223CD" w14:textId="4F181A6D" w:rsidR="005B3278" w:rsidRPr="00BD775D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D775D">
              <w:rPr>
                <w:rFonts w:ascii="Segoe UI" w:hAnsi="Segoe UI" w:cs="Segoe UI"/>
                <w:color w:val="000000"/>
                <w:sz w:val="20"/>
                <w:szCs w:val="20"/>
              </w:rPr>
              <w:t>2.29%</w:t>
            </w:r>
          </w:p>
        </w:tc>
      </w:tr>
      <w:tr w:rsidR="005B3278" w14:paraId="08CD4120" w14:textId="77777777" w:rsidTr="00F972C7">
        <w:trPr>
          <w:trHeight w:val="297"/>
        </w:trPr>
        <w:tc>
          <w:tcPr>
            <w:tcW w:w="2640" w:type="dxa"/>
            <w:tcBorders>
              <w:top w:val="single" w:sz="4" w:space="0" w:color="auto"/>
              <w:bottom w:val="single" w:sz="12" w:space="0" w:color="auto"/>
            </w:tcBorders>
          </w:tcPr>
          <w:p w14:paraId="7C9D3150" w14:textId="6CF6777F" w:rsidR="005B3278" w:rsidRDefault="005B3278" w:rsidP="005B327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Daily Sharpe Ratio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17309CA" w14:textId="271012C3" w:rsidR="005B3278" w:rsidRPr="00F45167" w:rsidRDefault="005B3278" w:rsidP="005B3278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D140FD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579BF40" w14:textId="6D9219FB" w:rsidR="005B3278" w:rsidRPr="00F45167" w:rsidRDefault="005B3278" w:rsidP="005B3278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-0.099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1AAAD763" w14:textId="4B87CBBA" w:rsidR="005B3278" w:rsidRPr="00F45167" w:rsidRDefault="005B3278" w:rsidP="005B3278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F45167">
              <w:rPr>
                <w:rFonts w:ascii="Segoe UI" w:hAnsi="Segoe UI" w:cs="Segoe UI"/>
                <w:color w:val="000000"/>
                <w:sz w:val="20"/>
                <w:szCs w:val="20"/>
              </w:rPr>
              <w:t>-0.090</w:t>
            </w:r>
          </w:p>
        </w:tc>
      </w:tr>
    </w:tbl>
    <w:p w14:paraId="786B9E9A" w14:textId="77777777" w:rsidR="009A4729" w:rsidRDefault="009A4729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168"/>
      </w:tblGrid>
      <w:tr w:rsidR="005D4B7B" w14:paraId="5D2EABF4" w14:textId="77777777" w:rsidTr="005D4B7B">
        <w:tc>
          <w:tcPr>
            <w:tcW w:w="5637" w:type="dxa"/>
          </w:tcPr>
          <w:p w14:paraId="4346C0A6" w14:textId="13A6DB6E" w:rsidR="00523AD7" w:rsidRDefault="00D06A4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3CD405" wp14:editId="7C7DE444">
                  <wp:extent cx="3207327" cy="2930237"/>
                  <wp:effectExtent l="0" t="0" r="0" b="0"/>
                  <wp:docPr id="158550016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C02AAF-C655-F170-B200-C12074496D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C596970" w14:textId="5986D121" w:rsidR="00523AD7" w:rsidRDefault="00C61AC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11C57E" wp14:editId="53F9E2B4">
                  <wp:extent cx="3144982" cy="2944091"/>
                  <wp:effectExtent l="0" t="0" r="0" b="0"/>
                  <wp:docPr id="112388545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EC6957-C77F-5B52-29D2-6A90306495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695BFA2A" w14:textId="3143982E" w:rsidR="00EE1044" w:rsidRPr="002E4FA8" w:rsidRDefault="002E4F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Simulations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4965"/>
      </w:tblGrid>
      <w:tr w:rsidR="00EE1044" w14:paraId="7095C992" w14:textId="77777777" w:rsidTr="00FD4543">
        <w:tc>
          <w:tcPr>
            <w:tcW w:w="5228" w:type="dxa"/>
          </w:tcPr>
          <w:p w14:paraId="30DC4211" w14:textId="54AD2445" w:rsidR="00EE1044" w:rsidRDefault="00EE1044">
            <w:pPr>
              <w:rPr>
                <w:rFonts w:ascii="Segoe UI" w:hAnsi="Segoe UI" w:cs="Segoe UI"/>
                <w:sz w:val="20"/>
                <w:szCs w:val="20"/>
              </w:rPr>
            </w:pPr>
            <w:r w:rsidRPr="00EE1044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1555B9D" wp14:editId="15249D94">
                  <wp:extent cx="3356261" cy="2453640"/>
                  <wp:effectExtent l="0" t="0" r="0" b="3810"/>
                  <wp:docPr id="74079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945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806" cy="247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512946C" w14:textId="77777777" w:rsidR="00FD4543" w:rsidRDefault="00FD4543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42DB3AB" w14:textId="77777777" w:rsidR="00FD4543" w:rsidRDefault="00FD4543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EE27DC8" w14:textId="77777777" w:rsidR="00FD4543" w:rsidRDefault="00FD4543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E7B5B5D" w14:textId="49C5D145" w:rsidR="00E54C29" w:rsidRPr="00E54C29" w:rsidRDefault="00E54C29" w:rsidP="00E54C29">
            <w:pPr>
              <w:rPr>
                <w:rFonts w:ascii="Segoe UI" w:hAnsi="Segoe UI" w:cs="Segoe UI"/>
                <w:sz w:val="20"/>
                <w:szCs w:val="20"/>
              </w:rPr>
            </w:pPr>
            <w:r w:rsidRPr="00E54C29">
              <w:rPr>
                <w:rFonts w:ascii="Segoe UI" w:hAnsi="Segoe UI" w:cs="Segoe UI"/>
                <w:sz w:val="20"/>
                <w:szCs w:val="20"/>
              </w:rPr>
              <w:t>The Monte Carlo simulation of cumulative returns exhibits a positively skewed distribution, suggesting a greater likelihood of outsized gains relative to losses.</w:t>
            </w:r>
          </w:p>
          <w:p w14:paraId="2D6CB58F" w14:textId="77777777" w:rsidR="00E54C29" w:rsidRPr="00E54C29" w:rsidRDefault="00E54C29" w:rsidP="00E54C29">
            <w:pPr>
              <w:rPr>
                <w:rFonts w:ascii="Segoe UI" w:hAnsi="Segoe UI" w:cs="Segoe UI"/>
                <w:sz w:val="20"/>
                <w:szCs w:val="20"/>
              </w:rPr>
            </w:pPr>
            <w:r w:rsidRPr="00E54C29">
              <w:rPr>
                <w:rFonts w:ascii="Segoe UI" w:hAnsi="Segoe UI" w:cs="Segoe UI"/>
                <w:sz w:val="20"/>
                <w:szCs w:val="20"/>
              </w:rPr>
              <w:t>Based on 5,000 simulated paths, the probability of achieving a positive return over the 46-day period is estimated at 68.78%.</w:t>
            </w:r>
          </w:p>
          <w:p w14:paraId="6AAE97E7" w14:textId="3E7E0052" w:rsidR="00E54C29" w:rsidRDefault="00E54C29" w:rsidP="00E54C29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CDF60EB" w14:textId="1BC7E7E4" w:rsidR="00386550" w:rsidRDefault="0038655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E42247" w14:textId="126B3506" w:rsidR="002E4FA8" w:rsidRPr="00F656E8" w:rsidRDefault="00F656E8">
      <w:pPr>
        <w:rPr>
          <w:rFonts w:ascii="Segoe UI" w:hAnsi="Segoe UI" w:cs="Segoe UI"/>
          <w:i/>
          <w:iCs/>
          <w:sz w:val="14"/>
          <w:szCs w:val="14"/>
        </w:rPr>
      </w:pPr>
      <w:r w:rsidRPr="00F656E8">
        <w:rPr>
          <w:rFonts w:ascii="Segoe UI" w:hAnsi="Segoe UI" w:cs="Segoe UI"/>
          <w:i/>
          <w:iCs/>
          <w:sz w:val="14"/>
          <w:szCs w:val="14"/>
        </w:rPr>
        <w:t xml:space="preserve">The </w:t>
      </w:r>
      <w:proofErr w:type="spellStart"/>
      <w:r w:rsidRPr="00F656E8">
        <w:rPr>
          <w:rFonts w:ascii="Segoe UI" w:hAnsi="Segoe UI" w:cs="Segoe UI"/>
          <w:i/>
          <w:iCs/>
          <w:sz w:val="14"/>
          <w:szCs w:val="14"/>
        </w:rPr>
        <w:t>backtest</w:t>
      </w:r>
      <w:proofErr w:type="spellEnd"/>
      <w:r w:rsidRPr="00F656E8">
        <w:rPr>
          <w:rFonts w:ascii="Segoe UI" w:hAnsi="Segoe UI" w:cs="Segoe UI"/>
          <w:i/>
          <w:iCs/>
          <w:sz w:val="14"/>
          <w:szCs w:val="14"/>
        </w:rPr>
        <w:t xml:space="preserve"> and simulation are based on historical data and resampling. Actual future performance may differ</w:t>
      </w:r>
    </w:p>
    <w:sectPr w:rsidR="002E4FA8" w:rsidRPr="00F656E8" w:rsidSect="0027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6"/>
    <w:rsid w:val="00046D06"/>
    <w:rsid w:val="00070A90"/>
    <w:rsid w:val="00083182"/>
    <w:rsid w:val="00105032"/>
    <w:rsid w:val="00182E52"/>
    <w:rsid w:val="001A5E68"/>
    <w:rsid w:val="001B1A60"/>
    <w:rsid w:val="001C17F1"/>
    <w:rsid w:val="002132C1"/>
    <w:rsid w:val="002709FC"/>
    <w:rsid w:val="002E4746"/>
    <w:rsid w:val="002E4FA8"/>
    <w:rsid w:val="00386550"/>
    <w:rsid w:val="00464112"/>
    <w:rsid w:val="004722A2"/>
    <w:rsid w:val="005069B8"/>
    <w:rsid w:val="00523AD7"/>
    <w:rsid w:val="005331A8"/>
    <w:rsid w:val="005472A6"/>
    <w:rsid w:val="0055168E"/>
    <w:rsid w:val="005B3278"/>
    <w:rsid w:val="005D2BD8"/>
    <w:rsid w:val="005D4B7B"/>
    <w:rsid w:val="00621B8F"/>
    <w:rsid w:val="00647037"/>
    <w:rsid w:val="006B71D2"/>
    <w:rsid w:val="006C1269"/>
    <w:rsid w:val="006C5612"/>
    <w:rsid w:val="006F11F4"/>
    <w:rsid w:val="007D7F3D"/>
    <w:rsid w:val="0086210F"/>
    <w:rsid w:val="00922CDC"/>
    <w:rsid w:val="00945FD4"/>
    <w:rsid w:val="009531E0"/>
    <w:rsid w:val="009A4729"/>
    <w:rsid w:val="009C72E0"/>
    <w:rsid w:val="00A23025"/>
    <w:rsid w:val="00A32E41"/>
    <w:rsid w:val="00AB23EF"/>
    <w:rsid w:val="00B064B2"/>
    <w:rsid w:val="00B5274E"/>
    <w:rsid w:val="00BD775D"/>
    <w:rsid w:val="00BE14A0"/>
    <w:rsid w:val="00C3308E"/>
    <w:rsid w:val="00C61AC9"/>
    <w:rsid w:val="00C80A6D"/>
    <w:rsid w:val="00CB15EA"/>
    <w:rsid w:val="00D06A4F"/>
    <w:rsid w:val="00D140FD"/>
    <w:rsid w:val="00D244F9"/>
    <w:rsid w:val="00D77BCA"/>
    <w:rsid w:val="00D8290E"/>
    <w:rsid w:val="00E0673D"/>
    <w:rsid w:val="00E1131D"/>
    <w:rsid w:val="00E54C29"/>
    <w:rsid w:val="00E71496"/>
    <w:rsid w:val="00EC0EA3"/>
    <w:rsid w:val="00EE1044"/>
    <w:rsid w:val="00F1431C"/>
    <w:rsid w:val="00F45167"/>
    <w:rsid w:val="00F656E8"/>
    <w:rsid w:val="00F972C7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79E6"/>
  <w15:chartTrackingRefBased/>
  <w15:docId w15:val="{0B213A84-1487-47F2-BBA5-A3A2BF35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cf867543fa686/Desktop/Finance/Data%20and%20backtests/Leveraged%20ETFs/SPXL_Tariffs_withCo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cf867543fa686/Desktop/Finance/Data%20and%20backtests/Leveraged%20ETFs/SPXL_Tariffs_withCo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r>
              <a:rPr lang="en-SG"/>
              <a:t>Value of USD1000 invested over the period</a:t>
            </a:r>
          </a:p>
        </c:rich>
      </c:tx>
      <c:layout>
        <c:manualLayout>
          <c:xMode val="edge"/>
          <c:yMode val="edge"/>
          <c:x val="0.19983234759931076"/>
          <c:y val="1.99797266081189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Analysis!$H$2</c:f>
              <c:strCache>
                <c:ptCount val="1"/>
                <c:pt idx="0">
                  <c:v>Passive SPXL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Analysis!$G$3:$G$48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Analysis!$H$3:$H$48</c:f>
              <c:numCache>
                <c:formatCode>General</c:formatCode>
                <c:ptCount val="46"/>
                <c:pt idx="0">
                  <c:v>987.1</c:v>
                </c:pt>
                <c:pt idx="1">
                  <c:v>936.46177</c:v>
                </c:pt>
                <c:pt idx="2">
                  <c:v>922.88307433500006</c:v>
                </c:pt>
                <c:pt idx="3">
                  <c:v>908.67067499024108</c:v>
                </c:pt>
                <c:pt idx="4">
                  <c:v>909.39761153023323</c:v>
                </c:pt>
                <c:pt idx="5">
                  <c:v>866.5649840271592</c:v>
                </c:pt>
                <c:pt idx="6">
                  <c:v>905.38709531157588</c:v>
                </c:pt>
                <c:pt idx="7">
                  <c:v>858.39750506490509</c:v>
                </c:pt>
                <c:pt idx="8">
                  <c:v>827.75271413408802</c:v>
                </c:pt>
                <c:pt idx="9">
                  <c:v>850.51591377277555</c:v>
                </c:pt>
                <c:pt idx="10">
                  <c:v>808.3303244496459</c:v>
                </c:pt>
                <c:pt idx="11">
                  <c:v>819.80861505683083</c:v>
                </c:pt>
                <c:pt idx="12">
                  <c:v>755.12571532884692</c:v>
                </c:pt>
                <c:pt idx="13">
                  <c:v>735.49244673029693</c:v>
                </c:pt>
                <c:pt idx="14">
                  <c:v>746.37773494190526</c:v>
                </c:pt>
                <c:pt idx="15">
                  <c:v>717.11972773218258</c:v>
                </c:pt>
                <c:pt idx="16">
                  <c:v>759.86006350502078</c:v>
                </c:pt>
                <c:pt idx="17">
                  <c:v>776.50099889578075</c:v>
                </c:pt>
                <c:pt idx="18">
                  <c:v>752.89536852934907</c:v>
                </c:pt>
                <c:pt idx="19">
                  <c:v>775.85867726949425</c:v>
                </c:pt>
                <c:pt idx="20">
                  <c:v>770.4276665286078</c:v>
                </c:pt>
                <c:pt idx="21">
                  <c:v>769.96540992869063</c:v>
                </c:pt>
                <c:pt idx="22">
                  <c:v>810.23460086796115</c:v>
                </c:pt>
                <c:pt idx="23">
                  <c:v>813.3945158113462</c:v>
                </c:pt>
                <c:pt idx="24">
                  <c:v>785.00704720953013</c:v>
                </c:pt>
                <c:pt idx="25">
                  <c:v>777.7849823752025</c:v>
                </c:pt>
                <c:pt idx="26">
                  <c:v>730.80676943974026</c:v>
                </c:pt>
                <c:pt idx="27">
                  <c:v>743.81512993576769</c:v>
                </c:pt>
                <c:pt idx="28">
                  <c:v>750.8069921571639</c:v>
                </c:pt>
                <c:pt idx="29">
                  <c:v>764.77200221128714</c:v>
                </c:pt>
                <c:pt idx="30">
                  <c:v>656.02142349684209</c:v>
                </c:pt>
                <c:pt idx="31">
                  <c:v>537.74076084036142</c:v>
                </c:pt>
                <c:pt idx="32">
                  <c:v>533.76147921014274</c:v>
                </c:pt>
                <c:pt idx="33">
                  <c:v>509.15507501855512</c:v>
                </c:pt>
                <c:pt idx="34">
                  <c:v>649.47821369366898</c:v>
                </c:pt>
                <c:pt idx="35">
                  <c:v>583.23143589691472</c:v>
                </c:pt>
                <c:pt idx="36">
                  <c:v>613.15120855842633</c:v>
                </c:pt>
                <c:pt idx="37">
                  <c:v>631.17785409004409</c:v>
                </c:pt>
                <c:pt idx="38">
                  <c:v>626.69649132600478</c:v>
                </c:pt>
                <c:pt idx="39">
                  <c:v>584.83316570542763</c:v>
                </c:pt>
                <c:pt idx="40">
                  <c:v>586.17828198655013</c:v>
                </c:pt>
                <c:pt idx="41">
                  <c:v>544.44238830910774</c:v>
                </c:pt>
                <c:pt idx="42">
                  <c:v>585.05779047696717</c:v>
                </c:pt>
                <c:pt idx="43">
                  <c:v>613.72562221033854</c:v>
                </c:pt>
                <c:pt idx="44">
                  <c:v>651.71523822515849</c:v>
                </c:pt>
                <c:pt idx="45">
                  <c:v>665.5316012755319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0-4FA3-BD7A-39D086F6CE68}"/>
            </c:ext>
          </c:extLst>
        </c:ser>
        <c:ser>
          <c:idx val="1"/>
          <c:order val="1"/>
          <c:tx>
            <c:strRef>
              <c:f>Analysis!$I$2</c:f>
              <c:strCache>
                <c:ptCount val="1"/>
                <c:pt idx="0">
                  <c:v>Passive SPX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Analysis!$G$3:$G$48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Analysis!$I$3:$I$48</c:f>
              <c:numCache>
                <c:formatCode>General</c:formatCode>
                <c:ptCount val="46"/>
                <c:pt idx="0">
                  <c:v>995.7</c:v>
                </c:pt>
                <c:pt idx="1">
                  <c:v>978.67353000000003</c:v>
                </c:pt>
                <c:pt idx="2">
                  <c:v>973.78016235000007</c:v>
                </c:pt>
                <c:pt idx="3">
                  <c:v>969.20339558695503</c:v>
                </c:pt>
                <c:pt idx="4">
                  <c:v>969.30031592651369</c:v>
                </c:pt>
                <c:pt idx="5">
                  <c:v>953.88844090328212</c:v>
                </c:pt>
                <c:pt idx="6">
                  <c:v>969.05526711364428</c:v>
                </c:pt>
                <c:pt idx="7">
                  <c:v>951.99989441244418</c:v>
                </c:pt>
                <c:pt idx="8">
                  <c:v>940.38549570061241</c:v>
                </c:pt>
                <c:pt idx="9">
                  <c:v>950.91781325245938</c:v>
                </c:pt>
                <c:pt idx="10">
                  <c:v>933.99147617656558</c:v>
                </c:pt>
                <c:pt idx="11">
                  <c:v>939.12842929553676</c:v>
                </c:pt>
                <c:pt idx="12">
                  <c:v>913.77196170455727</c:v>
                </c:pt>
                <c:pt idx="13">
                  <c:v>906.8272947956026</c:v>
                </c:pt>
                <c:pt idx="14">
                  <c:v>911.27074854010095</c:v>
                </c:pt>
                <c:pt idx="15">
                  <c:v>898.60408513539358</c:v>
                </c:pt>
                <c:pt idx="16">
                  <c:v>917.74435214877758</c:v>
                </c:pt>
                <c:pt idx="17">
                  <c:v>923.61791600252968</c:v>
                </c:pt>
                <c:pt idx="18">
                  <c:v>913.73520430130259</c:v>
                </c:pt>
                <c:pt idx="19">
                  <c:v>923.60354450775662</c:v>
                </c:pt>
                <c:pt idx="20">
                  <c:v>921.57161670983953</c:v>
                </c:pt>
                <c:pt idx="21">
                  <c:v>922.30887400320728</c:v>
                </c:pt>
                <c:pt idx="22">
                  <c:v>938.54151018566381</c:v>
                </c:pt>
                <c:pt idx="23">
                  <c:v>940.04317660196091</c:v>
                </c:pt>
                <c:pt idx="24">
                  <c:v>929.51469302401892</c:v>
                </c:pt>
                <c:pt idx="25">
                  <c:v>926.44729453703974</c:v>
                </c:pt>
                <c:pt idx="26">
                  <c:v>908.19628283466</c:v>
                </c:pt>
                <c:pt idx="27">
                  <c:v>913.19136239025067</c:v>
                </c:pt>
                <c:pt idx="28">
                  <c:v>916.66148956733366</c:v>
                </c:pt>
                <c:pt idx="29">
                  <c:v>922.80312154743478</c:v>
                </c:pt>
                <c:pt idx="30">
                  <c:v>878.13945046453898</c:v>
                </c:pt>
                <c:pt idx="31">
                  <c:v>825.714525271806</c:v>
                </c:pt>
                <c:pt idx="32">
                  <c:v>823.81538186368084</c:v>
                </c:pt>
                <c:pt idx="33">
                  <c:v>810.88148036842097</c:v>
                </c:pt>
                <c:pt idx="34">
                  <c:v>888.07739729949458</c:v>
                </c:pt>
                <c:pt idx="35">
                  <c:v>857.34991935293215</c:v>
                </c:pt>
                <c:pt idx="36">
                  <c:v>872.86795289322026</c:v>
                </c:pt>
                <c:pt idx="37">
                  <c:v>879.7636097210767</c:v>
                </c:pt>
                <c:pt idx="38">
                  <c:v>878.26801158455089</c:v>
                </c:pt>
                <c:pt idx="39">
                  <c:v>858.59480812505694</c:v>
                </c:pt>
                <c:pt idx="40">
                  <c:v>859.71098137561955</c:v>
                </c:pt>
                <c:pt idx="41">
                  <c:v>839.42180221515503</c:v>
                </c:pt>
                <c:pt idx="42">
                  <c:v>860.49128945075529</c:v>
                </c:pt>
                <c:pt idx="43">
                  <c:v>874.86149398458281</c:v>
                </c:pt>
                <c:pt idx="44">
                  <c:v>892.62118231246984</c:v>
                </c:pt>
                <c:pt idx="45">
                  <c:v>899.22657906158213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0-4FA3-BD7A-39D086F6CE68}"/>
            </c:ext>
          </c:extLst>
        </c:ser>
        <c:ser>
          <c:idx val="2"/>
          <c:order val="2"/>
          <c:tx>
            <c:strRef>
              <c:f>Analysis!$J$2</c:f>
              <c:strCache>
                <c:ptCount val="1"/>
                <c:pt idx="0">
                  <c:v>Strategy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Analysis!$G$3:$G$48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Analysis!$J$3:$J$48</c:f>
              <c:numCache>
                <c:formatCode>General</c:formatCode>
                <c:ptCount val="46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1020.929899656438</c:v>
                </c:pt>
                <c:pt idx="20">
                  <c:v>1013.817835063831</c:v>
                </c:pt>
                <c:pt idx="21">
                  <c:v>1013.260026076176</c:v>
                </c:pt>
                <c:pt idx="22">
                  <c:v>1013.260026076176</c:v>
                </c:pt>
                <c:pt idx="23">
                  <c:v>1012.6765760816839</c:v>
                </c:pt>
                <c:pt idx="24">
                  <c:v>977.31996816220851</c:v>
                </c:pt>
                <c:pt idx="25">
                  <c:v>968.3488885408492</c:v>
                </c:pt>
                <c:pt idx="26">
                  <c:v>909.83897953977748</c:v>
                </c:pt>
                <c:pt idx="27">
                  <c:v>909.83897953977748</c:v>
                </c:pt>
                <c:pt idx="28">
                  <c:v>926.35105138909535</c:v>
                </c:pt>
                <c:pt idx="29">
                  <c:v>943.60859690929294</c:v>
                </c:pt>
                <c:pt idx="30">
                  <c:v>809.40503269351336</c:v>
                </c:pt>
                <c:pt idx="31">
                  <c:v>809.40503269351336</c:v>
                </c:pt>
                <c:pt idx="32">
                  <c:v>890.68053793114643</c:v>
                </c:pt>
                <c:pt idx="33">
                  <c:v>890.68053793114643</c:v>
                </c:pt>
                <c:pt idx="34">
                  <c:v>1159.465923327755</c:v>
                </c:pt>
                <c:pt idx="35">
                  <c:v>1159.465923327755</c:v>
                </c:pt>
                <c:pt idx="36">
                  <c:v>1229.0857628402609</c:v>
                </c:pt>
                <c:pt idx="37">
                  <c:v>1265.1916172869251</c:v>
                </c:pt>
                <c:pt idx="38">
                  <c:v>1265.1916172869251</c:v>
                </c:pt>
                <c:pt idx="39">
                  <c:v>1220.958072661042</c:v>
                </c:pt>
                <c:pt idx="40">
                  <c:v>1223.7231738311241</c:v>
                </c:pt>
                <c:pt idx="41">
                  <c:v>1136.567184950165</c:v>
                </c:pt>
                <c:pt idx="42">
                  <c:v>1136.567184950165</c:v>
                </c:pt>
                <c:pt idx="43">
                  <c:v>1105.4201774334249</c:v>
                </c:pt>
                <c:pt idx="44">
                  <c:v>1173.8409532638609</c:v>
                </c:pt>
                <c:pt idx="45">
                  <c:v>1198.747260783726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C0-4FA3-BD7A-39D086F6C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6213792"/>
        <c:axId val="1116232032"/>
      </c:lineChart>
      <c:dateAx>
        <c:axId val="11162137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endParaRPr lang="en-US"/>
          </a:p>
        </c:txPr>
        <c:crossAx val="1116232032"/>
        <c:crosses val="autoZero"/>
        <c:auto val="1"/>
        <c:lblOffset val="100"/>
        <c:baseTimeUnit val="days"/>
      </c:dateAx>
      <c:valAx>
        <c:axId val="111623203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endParaRPr lang="en-US"/>
          </a:p>
        </c:txPr>
        <c:crossAx val="111621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>
          <a:latin typeface="Segoe UI" panose="020B0502040204020203" pitchFamily="34" charset="0"/>
          <a:cs typeface="Segoe UI" panose="020B0502040204020203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r>
              <a:rPr lang="en-SG"/>
              <a:t>Returns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Analysis!$C$2</c:f>
              <c:strCache>
                <c:ptCount val="1"/>
                <c:pt idx="0">
                  <c:v>SPXL Returns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Analysis!$B$3:$B$48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Analysis!$C$3:$C$48</c:f>
              <c:numCache>
                <c:formatCode>0.00000%</c:formatCode>
                <c:ptCount val="46"/>
                <c:pt idx="0">
                  <c:v>-1.29E-2</c:v>
                </c:pt>
                <c:pt idx="1">
                  <c:v>-5.1299999999999998E-2</c:v>
                </c:pt>
                <c:pt idx="2">
                  <c:v>-1.4500000000000001E-2</c:v>
                </c:pt>
                <c:pt idx="3">
                  <c:v>-1.54E-2</c:v>
                </c:pt>
                <c:pt idx="4">
                  <c:v>8.0000000000000004E-4</c:v>
                </c:pt>
                <c:pt idx="5">
                  <c:v>-4.7100000000000003E-2</c:v>
                </c:pt>
                <c:pt idx="6">
                  <c:v>4.48E-2</c:v>
                </c:pt>
                <c:pt idx="7">
                  <c:v>-5.1900000000000002E-2</c:v>
                </c:pt>
                <c:pt idx="8">
                  <c:v>-3.5700000000000003E-2</c:v>
                </c:pt>
                <c:pt idx="9">
                  <c:v>2.75E-2</c:v>
                </c:pt>
                <c:pt idx="10">
                  <c:v>-4.9599999999999998E-2</c:v>
                </c:pt>
                <c:pt idx="11">
                  <c:v>1.4200000000000001E-2</c:v>
                </c:pt>
                <c:pt idx="12">
                  <c:v>-7.8899999999999998E-2</c:v>
                </c:pt>
                <c:pt idx="13">
                  <c:v>-2.5999999999999999E-2</c:v>
                </c:pt>
                <c:pt idx="14">
                  <c:v>1.4800000000000001E-2</c:v>
                </c:pt>
                <c:pt idx="15">
                  <c:v>-3.9199999999999999E-2</c:v>
                </c:pt>
                <c:pt idx="16">
                  <c:v>5.96E-2</c:v>
                </c:pt>
                <c:pt idx="17">
                  <c:v>2.1899999999999999E-2</c:v>
                </c:pt>
                <c:pt idx="18">
                  <c:v>-3.04E-2</c:v>
                </c:pt>
                <c:pt idx="19">
                  <c:v>3.0499999999999999E-2</c:v>
                </c:pt>
                <c:pt idx="20">
                  <c:v>-7.0000000000000001E-3</c:v>
                </c:pt>
                <c:pt idx="21">
                  <c:v>-5.9999999999999995E-4</c:v>
                </c:pt>
                <c:pt idx="22">
                  <c:v>5.2299999999999999E-2</c:v>
                </c:pt>
                <c:pt idx="23">
                  <c:v>3.8999999999999998E-3</c:v>
                </c:pt>
                <c:pt idx="24">
                  <c:v>-3.49E-2</c:v>
                </c:pt>
                <c:pt idx="25">
                  <c:v>-9.1999999999999998E-3</c:v>
                </c:pt>
                <c:pt idx="26">
                  <c:v>-6.0400000000000002E-2</c:v>
                </c:pt>
                <c:pt idx="27">
                  <c:v>1.78E-2</c:v>
                </c:pt>
                <c:pt idx="28">
                  <c:v>9.4000000000000004E-3</c:v>
                </c:pt>
                <c:pt idx="29">
                  <c:v>1.8599999999999998E-2</c:v>
                </c:pt>
                <c:pt idx="30">
                  <c:v>-0.14219999999999999</c:v>
                </c:pt>
                <c:pt idx="31">
                  <c:v>-0.18029999999999999</c:v>
                </c:pt>
                <c:pt idx="32">
                  <c:v>-7.4000000000000003E-3</c:v>
                </c:pt>
                <c:pt idx="33">
                  <c:v>-4.6100000000000002E-2</c:v>
                </c:pt>
                <c:pt idx="34">
                  <c:v>0.27560000000000001</c:v>
                </c:pt>
                <c:pt idx="35">
                  <c:v>-0.10199999999999999</c:v>
                </c:pt>
                <c:pt idx="36">
                  <c:v>5.1299999999999998E-2</c:v>
                </c:pt>
                <c:pt idx="37">
                  <c:v>2.9399999999999999E-2</c:v>
                </c:pt>
                <c:pt idx="38">
                  <c:v>-7.1000000000000004E-3</c:v>
                </c:pt>
                <c:pt idx="39">
                  <c:v>-6.6799999999999998E-2</c:v>
                </c:pt>
                <c:pt idx="40">
                  <c:v>2.3E-3</c:v>
                </c:pt>
                <c:pt idx="41">
                  <c:v>-7.1199999999999999E-2</c:v>
                </c:pt>
                <c:pt idx="42">
                  <c:v>7.46E-2</c:v>
                </c:pt>
                <c:pt idx="43">
                  <c:v>4.9000000000000002E-2</c:v>
                </c:pt>
                <c:pt idx="44">
                  <c:v>6.1899999999999997E-2</c:v>
                </c:pt>
                <c:pt idx="45">
                  <c:v>2.12E-2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76-4C7E-A4ED-8D3105E14247}"/>
            </c:ext>
          </c:extLst>
        </c:ser>
        <c:ser>
          <c:idx val="1"/>
          <c:order val="1"/>
          <c:tx>
            <c:strRef>
              <c:f>Analysis!$D$2</c:f>
              <c:strCache>
                <c:ptCount val="1"/>
                <c:pt idx="0">
                  <c:v>SPX Returns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Analysis!$B$3:$B$48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Analysis!$D$3:$D$48</c:f>
              <c:numCache>
                <c:formatCode>0.00000%</c:formatCode>
                <c:ptCount val="46"/>
                <c:pt idx="0">
                  <c:v>-4.3E-3</c:v>
                </c:pt>
                <c:pt idx="1">
                  <c:v>-1.7100000000000001E-2</c:v>
                </c:pt>
                <c:pt idx="2">
                  <c:v>-5.0000000000000001E-3</c:v>
                </c:pt>
                <c:pt idx="3">
                  <c:v>-4.7000000000000002E-3</c:v>
                </c:pt>
                <c:pt idx="4">
                  <c:v>1E-4</c:v>
                </c:pt>
                <c:pt idx="5">
                  <c:v>-1.5900000000000001E-2</c:v>
                </c:pt>
                <c:pt idx="6">
                  <c:v>1.5900000000000001E-2</c:v>
                </c:pt>
                <c:pt idx="7">
                  <c:v>-1.7600000000000001E-2</c:v>
                </c:pt>
                <c:pt idx="8">
                  <c:v>-1.2200000000000001E-2</c:v>
                </c:pt>
                <c:pt idx="9">
                  <c:v>1.12E-2</c:v>
                </c:pt>
                <c:pt idx="10">
                  <c:v>-1.78E-2</c:v>
                </c:pt>
                <c:pt idx="11">
                  <c:v>5.4999999999999997E-3</c:v>
                </c:pt>
                <c:pt idx="12">
                  <c:v>-2.7E-2</c:v>
                </c:pt>
                <c:pt idx="13">
                  <c:v>-7.6E-3</c:v>
                </c:pt>
                <c:pt idx="14">
                  <c:v>4.8999999999999998E-3</c:v>
                </c:pt>
                <c:pt idx="15">
                  <c:v>-1.3899999999999999E-2</c:v>
                </c:pt>
                <c:pt idx="16">
                  <c:v>2.1299999999999999E-2</c:v>
                </c:pt>
                <c:pt idx="17">
                  <c:v>6.4000000000000003E-3</c:v>
                </c:pt>
                <c:pt idx="18">
                  <c:v>-1.0699999999999999E-2</c:v>
                </c:pt>
                <c:pt idx="19">
                  <c:v>1.0800000000000001E-2</c:v>
                </c:pt>
                <c:pt idx="20">
                  <c:v>-2.2000000000000001E-3</c:v>
                </c:pt>
                <c:pt idx="21">
                  <c:v>8.0000000000000004E-4</c:v>
                </c:pt>
                <c:pt idx="22">
                  <c:v>1.7600000000000001E-2</c:v>
                </c:pt>
                <c:pt idx="23">
                  <c:v>1.6000000000000001E-3</c:v>
                </c:pt>
                <c:pt idx="24">
                  <c:v>-1.12E-2</c:v>
                </c:pt>
                <c:pt idx="25">
                  <c:v>-3.3E-3</c:v>
                </c:pt>
                <c:pt idx="26">
                  <c:v>-1.9699999999999999E-2</c:v>
                </c:pt>
                <c:pt idx="27">
                  <c:v>5.4999999999999997E-3</c:v>
                </c:pt>
                <c:pt idx="28">
                  <c:v>3.8E-3</c:v>
                </c:pt>
                <c:pt idx="29">
                  <c:v>6.7000000000000002E-3</c:v>
                </c:pt>
                <c:pt idx="30">
                  <c:v>-4.8399999999999999E-2</c:v>
                </c:pt>
                <c:pt idx="31">
                  <c:v>-5.9700000000000003E-2</c:v>
                </c:pt>
                <c:pt idx="32">
                  <c:v>-2.3E-3</c:v>
                </c:pt>
                <c:pt idx="33">
                  <c:v>-1.5699999999999999E-2</c:v>
                </c:pt>
                <c:pt idx="34">
                  <c:v>9.5200000000000007E-2</c:v>
                </c:pt>
                <c:pt idx="35">
                  <c:v>-3.4599999999999999E-2</c:v>
                </c:pt>
                <c:pt idx="36">
                  <c:v>1.8100000000000002E-2</c:v>
                </c:pt>
                <c:pt idx="37">
                  <c:v>7.9000000000000008E-3</c:v>
                </c:pt>
                <c:pt idx="38">
                  <c:v>-1.6999999999999999E-3</c:v>
                </c:pt>
                <c:pt idx="39">
                  <c:v>-2.24E-2</c:v>
                </c:pt>
                <c:pt idx="40">
                  <c:v>1.2999999999999999E-3</c:v>
                </c:pt>
                <c:pt idx="41">
                  <c:v>-2.3599999999999999E-2</c:v>
                </c:pt>
                <c:pt idx="42">
                  <c:v>2.5100000000000001E-2</c:v>
                </c:pt>
                <c:pt idx="43">
                  <c:v>1.67E-2</c:v>
                </c:pt>
                <c:pt idx="44">
                  <c:v>2.0299999999999999E-2</c:v>
                </c:pt>
                <c:pt idx="45">
                  <c:v>7.4000000000000003E-3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76-4C7E-A4ED-8D3105E14247}"/>
            </c:ext>
          </c:extLst>
        </c:ser>
        <c:ser>
          <c:idx val="2"/>
          <c:order val="2"/>
          <c:tx>
            <c:strRef>
              <c:f>Analysis!$E$2</c:f>
              <c:strCache>
                <c:ptCount val="1"/>
                <c:pt idx="0">
                  <c:v>Strategy Returns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Analysis!$B$3:$B$48</c:f>
              <c:numCache>
                <c:formatCode>m/d/yyyy</c:formatCode>
                <c:ptCount val="46"/>
                <c:pt idx="0">
                  <c:v>45708</c:v>
                </c:pt>
                <c:pt idx="1">
                  <c:v>45709</c:v>
                </c:pt>
                <c:pt idx="2">
                  <c:v>45712</c:v>
                </c:pt>
                <c:pt idx="3">
                  <c:v>45713</c:v>
                </c:pt>
                <c:pt idx="4">
                  <c:v>45714</c:v>
                </c:pt>
                <c:pt idx="5">
                  <c:v>45715</c:v>
                </c:pt>
                <c:pt idx="6">
                  <c:v>45716</c:v>
                </c:pt>
                <c:pt idx="7">
                  <c:v>45719</c:v>
                </c:pt>
                <c:pt idx="8">
                  <c:v>45720</c:v>
                </c:pt>
                <c:pt idx="9">
                  <c:v>45721</c:v>
                </c:pt>
                <c:pt idx="10">
                  <c:v>45722</c:v>
                </c:pt>
                <c:pt idx="11">
                  <c:v>45723</c:v>
                </c:pt>
                <c:pt idx="12">
                  <c:v>45726</c:v>
                </c:pt>
                <c:pt idx="13">
                  <c:v>45727</c:v>
                </c:pt>
                <c:pt idx="14">
                  <c:v>45728</c:v>
                </c:pt>
                <c:pt idx="15">
                  <c:v>45729</c:v>
                </c:pt>
                <c:pt idx="16">
                  <c:v>45730</c:v>
                </c:pt>
                <c:pt idx="17">
                  <c:v>45733</c:v>
                </c:pt>
                <c:pt idx="18">
                  <c:v>45734</c:v>
                </c:pt>
                <c:pt idx="19">
                  <c:v>45735</c:v>
                </c:pt>
                <c:pt idx="20">
                  <c:v>45736</c:v>
                </c:pt>
                <c:pt idx="21">
                  <c:v>45737</c:v>
                </c:pt>
                <c:pt idx="22">
                  <c:v>45740</c:v>
                </c:pt>
                <c:pt idx="23">
                  <c:v>45741</c:v>
                </c:pt>
                <c:pt idx="24">
                  <c:v>45742</c:v>
                </c:pt>
                <c:pt idx="25">
                  <c:v>45743</c:v>
                </c:pt>
                <c:pt idx="26">
                  <c:v>45744</c:v>
                </c:pt>
                <c:pt idx="27">
                  <c:v>45747</c:v>
                </c:pt>
                <c:pt idx="28">
                  <c:v>45748</c:v>
                </c:pt>
                <c:pt idx="29">
                  <c:v>45749</c:v>
                </c:pt>
                <c:pt idx="30">
                  <c:v>45750</c:v>
                </c:pt>
                <c:pt idx="31">
                  <c:v>45751</c:v>
                </c:pt>
                <c:pt idx="32">
                  <c:v>45754</c:v>
                </c:pt>
                <c:pt idx="33">
                  <c:v>45755</c:v>
                </c:pt>
                <c:pt idx="34">
                  <c:v>45756</c:v>
                </c:pt>
                <c:pt idx="35">
                  <c:v>45757</c:v>
                </c:pt>
                <c:pt idx="36">
                  <c:v>45758</c:v>
                </c:pt>
                <c:pt idx="37">
                  <c:v>45761</c:v>
                </c:pt>
                <c:pt idx="38">
                  <c:v>45762</c:v>
                </c:pt>
                <c:pt idx="39">
                  <c:v>45763</c:v>
                </c:pt>
                <c:pt idx="40">
                  <c:v>45764</c:v>
                </c:pt>
                <c:pt idx="41">
                  <c:v>45768</c:v>
                </c:pt>
                <c:pt idx="42">
                  <c:v>45769</c:v>
                </c:pt>
                <c:pt idx="43">
                  <c:v>45770</c:v>
                </c:pt>
                <c:pt idx="44">
                  <c:v>45771</c:v>
                </c:pt>
                <c:pt idx="45">
                  <c:v>45772</c:v>
                </c:pt>
              </c:numCache>
            </c:numRef>
          </c:cat>
          <c:val>
            <c:numRef>
              <c:f>Analysis!$E$3:$E$48</c:f>
              <c:numCache>
                <c:formatCode>0.00000%</c:formatCode>
                <c:ptCount val="4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2.0929899656437989E-2</c:v>
                </c:pt>
                <c:pt idx="20">
                  <c:v>-6.9662614396936995E-3</c:v>
                </c:pt>
                <c:pt idx="21">
                  <c:v>-5.5020632737223796E-4</c:v>
                </c:pt>
                <c:pt idx="22">
                  <c:v>0</c:v>
                </c:pt>
                <c:pt idx="23">
                  <c:v>-5.7581467686185217E-4</c:v>
                </c:pt>
                <c:pt idx="24">
                  <c:v>-3.491401771756153E-2</c:v>
                </c:pt>
                <c:pt idx="25">
                  <c:v>-9.179265658747271E-3</c:v>
                </c:pt>
                <c:pt idx="26">
                  <c:v>-6.0422343324250671E-2</c:v>
                </c:pt>
                <c:pt idx="27">
                  <c:v>0</c:v>
                </c:pt>
                <c:pt idx="28">
                  <c:v>1.8148345169460844E-2</c:v>
                </c:pt>
                <c:pt idx="29">
                  <c:v>1.8629595653094189E-2</c:v>
                </c:pt>
                <c:pt idx="30">
                  <c:v>-0.14222376169033601</c:v>
                </c:pt>
                <c:pt idx="31">
                  <c:v>0</c:v>
                </c:pt>
                <c:pt idx="32">
                  <c:v>0.10041388668806128</c:v>
                </c:pt>
                <c:pt idx="33">
                  <c:v>0</c:v>
                </c:pt>
                <c:pt idx="34">
                  <c:v>0.30177529871814368</c:v>
                </c:pt>
                <c:pt idx="35">
                  <c:v>0</c:v>
                </c:pt>
                <c:pt idx="36">
                  <c:v>6.0044748286083083E-2</c:v>
                </c:pt>
                <c:pt idx="37">
                  <c:v>2.9376188007603332E-2</c:v>
                </c:pt>
                <c:pt idx="38">
                  <c:v>0</c:v>
                </c:pt>
                <c:pt idx="39">
                  <c:v>-3.4961933055435046E-2</c:v>
                </c:pt>
                <c:pt idx="40">
                  <c:v>2.2646978893023917E-3</c:v>
                </c:pt>
                <c:pt idx="41">
                  <c:v>-7.1221981200289664E-2</c:v>
                </c:pt>
                <c:pt idx="42">
                  <c:v>0</c:v>
                </c:pt>
                <c:pt idx="43">
                  <c:v>-2.7404457852710062E-2</c:v>
                </c:pt>
                <c:pt idx="44">
                  <c:v>6.1895718232044539E-2</c:v>
                </c:pt>
                <c:pt idx="45">
                  <c:v>2.1217787171774249E-2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76-4C7E-A4ED-8D3105E14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4100944"/>
        <c:axId val="1114103344"/>
      </c:lineChart>
      <c:dateAx>
        <c:axId val="11141009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endParaRPr lang="en-US"/>
          </a:p>
        </c:txPr>
        <c:crossAx val="1114103344"/>
        <c:crosses val="autoZero"/>
        <c:auto val="1"/>
        <c:lblOffset val="100"/>
        <c:baseTimeUnit val="days"/>
      </c:dateAx>
      <c:valAx>
        <c:axId val="111410334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endParaRPr lang="en-US"/>
          </a:p>
        </c:txPr>
        <c:crossAx val="111410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>
          <a:latin typeface="Segoe UI" panose="020B0502040204020203" pitchFamily="34" charset="0"/>
          <a:cs typeface="Segoe UI" panose="020B0502040204020203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Jin Chew</dc:creator>
  <cp:keywords/>
  <dc:description/>
  <cp:lastModifiedBy>Boon Jin Chew</cp:lastModifiedBy>
  <cp:revision>57</cp:revision>
  <dcterms:created xsi:type="dcterms:W3CDTF">2025-04-28T05:54:00Z</dcterms:created>
  <dcterms:modified xsi:type="dcterms:W3CDTF">2025-04-28T06:44:00Z</dcterms:modified>
</cp:coreProperties>
</file>