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aps/>
          <w:color w:val="9C6B2E"/>
          <w:sz w:val="20"/>
          <w:szCs w:val="20"/>
        </w:rPr>
        <w:t xml:space="preserve">SEO KEYWORD STRATEGY</w:t>
      </w:r>
    </w:p>
    <w:p>
      <w:pPr>
        <w:spacing w:after="40"/>
      </w:pPr>
      <w:r>
        <w:rPr>
          <w:b/>
          <w:bCs/>
          <w:color w:val="20180F"/>
          <w:sz w:val="40"/>
          <w:szCs w:val="40"/>
        </w:rPr>
        <w:t xml:space="preserve">PJ Prelaunch Private Lift</w:t>
      </w:r>
    </w:p>
    <w:p>
      <w:pPr>
        <w:spacing w:after="300"/>
      </w:pPr>
      <w:r>
        <w:rPr>
          <w:color w:val="6B6B6B"/>
          <w:sz w:val="19"/>
          <w:szCs w:val="19"/>
        </w:rPr>
        <w:t xml:space="preserve">pjprelaunchprivatelift.com.my  ·  Prepared for Ryan  ·  July 11, 2026</w:t>
      </w:r>
    </w:p>
    <w:p>
      <w:pPr>
        <w:pStyle w:val="Heading1"/>
        <w:spacing w:after="200" w:before="400"/>
      </w:pPr>
      <w:r>
        <w:rPr>
          <w:b/>
          <w:bCs/>
          <w:color w:val="20180F"/>
          <w:sz w:val="30"/>
          <w:szCs w:val="30"/>
        </w:rPr>
        <w:t xml:space="preserve">Executive summary</w:t>
      </w:r>
    </w:p>
    <w:p>
      <w:pPr>
        <w:spacing w:after="200" w:line="300"/>
      </w:pPr>
      <w:r>
        <w:rPr>
          <w:color w:val="20180F"/>
          <w:sz w:val="21"/>
          <w:szCs w:val="21"/>
        </w:rPr>
        <w:t xml:space="preserve">The site is currently a single landing page targeting the private-lift condo launch in Petaling Jaya, and its on-page SEO (title, meta description, structured data) is already reasonably well-built. Keyword research pulled from Semrush across several seed terms (“new launch property in kl,” “avaland,” “private lift condo,” and broad “condo”/“apartment” searches) surfaces a focused set of low-to-medium-difficulty, high-relevance PJ-specific keywords the page isn’t yet using, plus a much larger set of high-volume terms that aren’t realistically winnable for a single microsite and should be left alone.</w:t>
      </w:r>
    </w:p>
    <w:p>
      <w:pPr>
        <w:spacing w:after="200" w:line="300"/>
      </w:pPr>
      <w:r>
        <w:rPr>
          <w:color w:val="20180F"/>
          <w:sz w:val="21"/>
          <w:szCs w:val="21"/>
        </w:rPr>
        <w:t xml:space="preserve">Before any keyword work, there is one technical issue worth fixing first — it affects how Google indexes the site at all.</w:t>
      </w:r>
    </w:p>
    <w:p>
      <w:pPr>
        <w:pStyle w:val="Heading1"/>
        <w:spacing w:after="200" w:before="400"/>
      </w:pPr>
      <w:r>
        <w:rPr>
          <w:b/>
          <w:bCs/>
          <w:color w:val="20180F"/>
          <w:sz w:val="30"/>
          <w:szCs w:val="30"/>
        </w:rPr>
        <w:t xml:space="preserve">Fix this first: the canonical domain doesn’t match</w:t>
      </w:r>
    </w:p>
    <w:p>
      <w:pPr>
        <w:spacing w:after="200" w:line="300"/>
      </w:pPr>
      <w:r>
        <w:rPr>
          <w:color w:val="20180F"/>
          <w:sz w:val="21"/>
          <w:szCs w:val="21"/>
        </w:rPr>
        <w:t xml:space="preserve">The site’s canonical tag, Open Graph URL, Twitter card, and structured data (JSON-LD) all point to https://pjnewlaunchprivatelift.com.my/ — not the live domain, https://www.pjprelaunchprivatelift.com.my/. This is in src/layouts/Layout.astro (the url/image values in the JSON-LD objects, the canonical link, and the og:url / og:image / twitter:image meta tags).</w:t>
      </w:r>
    </w:p>
    <w:p>
      <w:pPr>
        <w:spacing w:after="200" w:line="300"/>
      </w:pPr>
      <w:r>
        <w:rPr>
          <w:color w:val="20180F"/>
          <w:sz w:val="21"/>
          <w:szCs w:val="21"/>
        </w:rPr>
        <w:t xml:space="preserve">A canonical tag pointing at a different domain tells Google “the authoritative version of this page lives elsewhere,” which can suppress the real page from search results entirely, or split any authority between two domains. Every og:url, canonical, and schema url/image value should be updated to the live domain before investing further in keyword or content work — otherwise none of the keyword targeting below can take effect in search results.</w:t>
      </w:r>
    </w:p>
    <w:p>
      <w:pPr>
        <w:pStyle w:val="Heading1"/>
        <w:spacing w:after="200" w:before="400"/>
      </w:pPr>
      <w:r>
        <w:rPr>
          <w:b/>
          <w:bCs/>
          <w:color w:val="20180F"/>
          <w:sz w:val="30"/>
          <w:szCs w:val="30"/>
        </w:rPr>
        <w:t xml:space="preserve">How the keywords were prioritized</w:t>
      </w:r>
    </w:p>
    <w:p>
      <w:pPr>
        <w:spacing w:after="200" w:line="300"/>
      </w:pPr>
      <w:r>
        <w:rPr>
          <w:color w:val="20180F"/>
          <w:sz w:val="21"/>
          <w:szCs w:val="21"/>
        </w:rPr>
        <w:t xml:space="preserve">Each keyword was scored on three things: relevance (does it match a for-sale, private-lift condo in central PJ facing Plaza 33 — not a rental, not a landed home, not a different suburb), difficulty (Semrush KD%, favoring anything under ~25% as realistic for a new microsite), and commercial value (CPC as a proxy for buyer intent). That produced three groups: keywords to target directly on the homepage now, keywords worth a new supporting page or blog post, and keywords not worth pursuing.</w:t>
      </w:r>
    </w:p>
    <w:p>
      <w:pPr>
        <w:pStyle w:val="Heading1"/>
        <w:spacing w:after="200" w:before="400"/>
      </w:pPr>
      <w:r>
        <w:rPr>
          <w:b/>
          <w:bCs/>
          <w:color w:val="20180F"/>
          <w:sz w:val="30"/>
          <w:szCs w:val="30"/>
        </w:rPr>
        <w:t xml:space="preserve">Tier 1 — Target directly on the homepage</w:t>
      </w:r>
    </w:p>
    <w:p>
      <w:pPr>
        <w:spacing w:after="200" w:line="300"/>
      </w:pPr>
      <w:r>
        <w:rPr>
          <w:color w:val="20180F"/>
          <w:sz w:val="21"/>
          <w:szCs w:val="21"/>
        </w:rPr>
        <w:t xml:space="preserve">These are the closest match to the actual product and the most realistic to rank for. They should be worked into the title tag, meta description, H1/H2 headings, and body copy — several of these words (like “condo”) currently don’t appear anywhere in the visible page copy, only in the hidden meta-keywords tag, which Google ignores.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00"/>
        <w:gridCol w:w="700"/>
        <w:gridCol w:w="800"/>
        <w:gridCol w:w="1000"/>
        <w:gridCol w:w="3660"/>
      </w:tblGrid>
      <w:tr>
        <w:trPr>
          <w:tblHeader/>
        </w:trPr>
        <w:tc>
          <w:tcPr>
            <w:tcW w:type="dxa" w:w="1900"/>
            <w:shd w:fill="20180F" w:color="auto" w:val="clear"/>
            <w:tcMar>
              <w:top w:type="dxa" w:w="80"/>
              <w:left w:type="dxa" w:w="100"/>
              <w:bottom w:type="dxa" w:w="80"/>
              <w:right w:type="dxa" w:w="100"/>
            </w:tcMar>
          </w:tcPr>
          <w:p>
            <w:pPr>
              <w:jc w:val="left"/>
            </w:pPr>
            <w:r>
              <w:rPr>
                <w:b/>
                <w:bCs/>
                <w:color w:val="FFFFFF"/>
                <w:sz w:val="18"/>
                <w:szCs w:val="18"/>
              </w:rPr>
              <w:t xml:space="preserve">Keyword</w:t>
            </w:r>
          </w:p>
        </w:tc>
        <w:tc>
          <w:tcPr>
            <w:tcW w:type="dxa" w:w="800"/>
            <w:shd w:fill="20180F" w:color="auto" w:val="clear"/>
            <w:tcMar>
              <w:top w:type="dxa" w:w="80"/>
              <w:left w:type="dxa" w:w="100"/>
              <w:bottom w:type="dxa" w:w="80"/>
              <w:right w:type="dxa" w:w="100"/>
            </w:tcMar>
          </w:tcPr>
          <w:p>
            <w:pPr>
              <w:jc w:val="left"/>
            </w:pPr>
            <w:r>
              <w:rPr>
                <w:b/>
                <w:bCs/>
                <w:color w:val="FFFFFF"/>
                <w:sz w:val="18"/>
                <w:szCs w:val="18"/>
              </w:rPr>
              <w:t xml:space="preserve">Volume</w:t>
            </w:r>
          </w:p>
        </w:tc>
        <w:tc>
          <w:tcPr>
            <w:tcW w:type="dxa" w:w="700"/>
            <w:shd w:fill="20180F" w:color="auto" w:val="clear"/>
            <w:tcMar>
              <w:top w:type="dxa" w:w="80"/>
              <w:left w:type="dxa" w:w="100"/>
              <w:bottom w:type="dxa" w:w="80"/>
              <w:right w:type="dxa" w:w="100"/>
            </w:tcMar>
          </w:tcPr>
          <w:p>
            <w:pPr>
              <w:jc w:val="left"/>
            </w:pPr>
            <w:r>
              <w:rPr>
                <w:b/>
                <w:bCs/>
                <w:color w:val="FFFFFF"/>
                <w:sz w:val="18"/>
                <w:szCs w:val="18"/>
              </w:rPr>
              <w:t xml:space="preserve">KD %</w:t>
            </w:r>
          </w:p>
        </w:tc>
        <w:tc>
          <w:tcPr>
            <w:tcW w:type="dxa" w:w="800"/>
            <w:shd w:fill="20180F" w:color="auto" w:val="clear"/>
            <w:tcMar>
              <w:top w:type="dxa" w:w="80"/>
              <w:left w:type="dxa" w:w="100"/>
              <w:bottom w:type="dxa" w:w="80"/>
              <w:right w:type="dxa" w:w="100"/>
            </w:tcMar>
          </w:tcPr>
          <w:p>
            <w:pPr>
              <w:jc w:val="left"/>
            </w:pPr>
            <w:r>
              <w:rPr>
                <w:b/>
                <w:bCs/>
                <w:color w:val="FFFFFF"/>
                <w:sz w:val="18"/>
                <w:szCs w:val="18"/>
              </w:rPr>
              <w:t xml:space="preserve">CPC</w:t>
            </w:r>
          </w:p>
        </w:tc>
        <w:tc>
          <w:tcPr>
            <w:tcW w:type="dxa" w:w="1000"/>
            <w:shd w:fill="20180F" w:color="auto" w:val="clear"/>
            <w:tcMar>
              <w:top w:type="dxa" w:w="80"/>
              <w:left w:type="dxa" w:w="100"/>
              <w:bottom w:type="dxa" w:w="80"/>
              <w:right w:type="dxa" w:w="100"/>
            </w:tcMar>
          </w:tcPr>
          <w:p>
            <w:pPr>
              <w:jc w:val="left"/>
            </w:pPr>
            <w:r>
              <w:rPr>
                <w:b/>
                <w:bCs/>
                <w:color w:val="FFFFFF"/>
                <w:sz w:val="18"/>
                <w:szCs w:val="18"/>
              </w:rPr>
              <w:t xml:space="preserve">Intent</w:t>
            </w:r>
          </w:p>
        </w:tc>
        <w:tc>
          <w:tcPr>
            <w:tcW w:type="dxa" w:w="3660"/>
            <w:shd w:fill="20180F" w:color="auto" w:val="clear"/>
            <w:tcMar>
              <w:top w:type="dxa" w:w="80"/>
              <w:left w:type="dxa" w:w="100"/>
              <w:bottom w:type="dxa" w:w="80"/>
              <w:right w:type="dxa" w:w="100"/>
            </w:tcMar>
          </w:tcPr>
          <w:p>
            <w:pPr>
              <w:jc w:val="left"/>
            </w:pPr>
            <w:r>
              <w:rPr>
                <w:b/>
                <w:bCs/>
                <w:color w:val="FFFFFF"/>
                <w:sz w:val="18"/>
                <w:szCs w:val="18"/>
              </w:rPr>
              <w:t xml:space="preserve">Why it's a priority</w:t>
            </w:r>
          </w:p>
        </w:tc>
      </w:tr>
      <w:tr>
        <w:tc>
          <w:tcPr>
            <w:tcW w:type="dxa" w:w="1900"/>
            <w:tcMar>
              <w:top w:type="dxa" w:w="80"/>
              <w:left w:type="dxa" w:w="100"/>
              <w:bottom w:type="dxa" w:w="80"/>
              <w:right w:type="dxa" w:w="100"/>
            </w:tcMar>
          </w:tcPr>
          <w:p>
            <w:pPr>
              <w:jc w:val="left"/>
            </w:pPr>
            <w:r>
              <w:rPr>
                <w:b w:val="false"/>
                <w:bCs w:val="false"/>
                <w:color w:val="20180F"/>
                <w:sz w:val="19"/>
                <w:szCs w:val="19"/>
              </w:rPr>
              <w:t xml:space="preserve">private lift condo</w:t>
            </w:r>
          </w:p>
        </w:tc>
        <w:tc>
          <w:tcPr>
            <w:tcW w:type="dxa" w:w="800"/>
            <w:tcMar>
              <w:top w:type="dxa" w:w="80"/>
              <w:left w:type="dxa" w:w="100"/>
              <w:bottom w:type="dxa" w:w="80"/>
              <w:right w:type="dxa" w:w="100"/>
            </w:tcMar>
          </w:tcPr>
          <w:p>
            <w:pPr>
              <w:jc w:val="center"/>
            </w:pPr>
            <w:r>
              <w:rPr>
                <w:b w:val="false"/>
                <w:bCs w:val="false"/>
                <w:color w:val="20180F"/>
                <w:sz w:val="19"/>
                <w:szCs w:val="19"/>
              </w:rPr>
              <w:t xml:space="preserve">90</w:t>
            </w:r>
          </w:p>
        </w:tc>
        <w:tc>
          <w:tcPr>
            <w:tcW w:type="dxa" w:w="700"/>
            <w:tcMar>
              <w:top w:type="dxa" w:w="80"/>
              <w:left w:type="dxa" w:w="100"/>
              <w:bottom w:type="dxa" w:w="80"/>
              <w:right w:type="dxa" w:w="100"/>
            </w:tcMar>
          </w:tcPr>
          <w:p>
            <w:pPr>
              <w:jc w:val="center"/>
            </w:pPr>
            <w:r>
              <w:rPr>
                <w:b w:val="false"/>
                <w:bCs w:val="false"/>
                <w:color w:val="20180F"/>
                <w:sz w:val="19"/>
                <w:szCs w:val="19"/>
              </w:rPr>
              <w:t xml:space="preserve">18%</w:t>
            </w:r>
          </w:p>
        </w:tc>
        <w:tc>
          <w:tcPr>
            <w:tcW w:type="dxa" w:w="800"/>
            <w:tcMar>
              <w:top w:type="dxa" w:w="80"/>
              <w:left w:type="dxa" w:w="100"/>
              <w:bottom w:type="dxa" w:w="80"/>
              <w:right w:type="dxa" w:w="100"/>
            </w:tcMar>
          </w:tcPr>
          <w:p>
            <w:pPr>
              <w:jc w:val="center"/>
            </w:pPr>
            <w:r>
              <w:rPr>
                <w:b w:val="false"/>
                <w:bCs w:val="false"/>
                <w:color w:val="20180F"/>
                <w:sz w:val="19"/>
                <w:szCs w:val="19"/>
              </w:rPr>
              <w:t xml:space="preserve">RM1.55</w:t>
            </w:r>
          </w:p>
        </w:tc>
        <w:tc>
          <w:tcPr>
            <w:tcW w:type="dxa" w:w="1000"/>
            <w:tcMar>
              <w:top w:type="dxa" w:w="80"/>
              <w:left w:type="dxa" w:w="100"/>
              <w:bottom w:type="dxa" w:w="80"/>
              <w:right w:type="dxa" w:w="100"/>
            </w:tcMar>
          </w:tcPr>
          <w:p>
            <w:pPr>
              <w:jc w:val="center"/>
            </w:pPr>
            <w:r>
              <w:rPr>
                <w:b w:val="false"/>
                <w:bCs w:val="false"/>
                <w:color w:val="20180F"/>
                <w:sz w:val="19"/>
                <w:szCs w:val="19"/>
              </w:rPr>
              <w:t xml:space="preserve">Info.</w:t>
            </w:r>
          </w:p>
        </w:tc>
        <w:tc>
          <w:tcPr>
            <w:tcW w:type="dxa" w:w="3660"/>
            <w:tcMar>
              <w:top w:type="dxa" w:w="80"/>
              <w:left w:type="dxa" w:w="100"/>
              <w:bottom w:type="dxa" w:w="80"/>
              <w:right w:type="dxa" w:w="100"/>
            </w:tcMar>
          </w:tcPr>
          <w:p>
            <w:pPr>
              <w:jc w:val="center"/>
            </w:pPr>
            <w:r>
              <w:rPr>
                <w:b w:val="false"/>
                <w:bCs w:val="false"/>
                <w:color w:val="20180F"/>
                <w:sz w:val="19"/>
                <w:szCs w:val="19"/>
              </w:rPr>
              <w:t xml:space="preserve">Exact product match — this is literally what the project is.</w:t>
            </w:r>
          </w:p>
        </w:tc>
      </w:tr>
      <w:tr>
        <w:tc>
          <w:tcPr>
            <w:tcW w:type="dxa" w:w="1900"/>
            <w:shd w:fill="F5EFE3" w:color="auto" w:val="clear"/>
            <w:tcMar>
              <w:top w:type="dxa" w:w="80"/>
              <w:left w:type="dxa" w:w="100"/>
              <w:bottom w:type="dxa" w:w="80"/>
              <w:right w:type="dxa" w:w="100"/>
            </w:tcMar>
          </w:tcPr>
          <w:p>
            <w:pPr>
              <w:jc w:val="left"/>
            </w:pPr>
            <w:r>
              <w:rPr>
                <w:b w:val="false"/>
                <w:bCs w:val="false"/>
                <w:color w:val="20180F"/>
                <w:sz w:val="19"/>
                <w:szCs w:val="19"/>
              </w:rPr>
              <w:t xml:space="preserve">pj condo</w:t>
            </w:r>
          </w:p>
        </w:tc>
        <w:tc>
          <w:tcPr>
            <w:tcW w:type="dxa" w:w="800"/>
            <w:shd w:fill="F5EFE3" w:color="auto" w:val="clear"/>
            <w:tcMar>
              <w:top w:type="dxa" w:w="80"/>
              <w:left w:type="dxa" w:w="100"/>
              <w:bottom w:type="dxa" w:w="80"/>
              <w:right w:type="dxa" w:w="100"/>
            </w:tcMar>
          </w:tcPr>
          <w:p>
            <w:pPr>
              <w:jc w:val="center"/>
            </w:pPr>
            <w:r>
              <w:rPr>
                <w:b w:val="false"/>
                <w:bCs w:val="false"/>
                <w:color w:val="20180F"/>
                <w:sz w:val="19"/>
                <w:szCs w:val="19"/>
              </w:rPr>
              <w:t xml:space="preserve">390</w:t>
            </w:r>
          </w:p>
        </w:tc>
        <w:tc>
          <w:tcPr>
            <w:tcW w:type="dxa" w:w="700"/>
            <w:shd w:fill="F5EFE3" w:color="auto" w:val="clear"/>
            <w:tcMar>
              <w:top w:type="dxa" w:w="80"/>
              <w:left w:type="dxa" w:w="100"/>
              <w:bottom w:type="dxa" w:w="80"/>
              <w:right w:type="dxa" w:w="100"/>
            </w:tcMar>
          </w:tcPr>
          <w:p>
            <w:pPr>
              <w:jc w:val="center"/>
            </w:pPr>
            <w:r>
              <w:rPr>
                <w:b w:val="false"/>
                <w:bCs w:val="false"/>
                <w:color w:val="20180F"/>
                <w:sz w:val="19"/>
                <w:szCs w:val="19"/>
              </w:rPr>
              <w:t xml:space="preserve">22%</w:t>
            </w:r>
          </w:p>
        </w:tc>
        <w:tc>
          <w:tcPr>
            <w:tcW w:type="dxa" w:w="800"/>
            <w:shd w:fill="F5EFE3" w:color="auto" w:val="clear"/>
            <w:tcMar>
              <w:top w:type="dxa" w:w="80"/>
              <w:left w:type="dxa" w:w="100"/>
              <w:bottom w:type="dxa" w:w="80"/>
              <w:right w:type="dxa" w:w="100"/>
            </w:tcMar>
          </w:tcPr>
          <w:p>
            <w:pPr>
              <w:jc w:val="center"/>
            </w:pPr>
            <w:r>
              <w:rPr>
                <w:b w:val="false"/>
                <w:bCs w:val="false"/>
                <w:color w:val="20180F"/>
                <w:sz w:val="19"/>
                <w:szCs w:val="19"/>
              </w:rPr>
              <w:t xml:space="preserve">RM1.51</w:t>
            </w:r>
          </w:p>
        </w:tc>
        <w:tc>
          <w:tcPr>
            <w:tcW w:type="dxa" w:w="1000"/>
            <w:shd w:fill="F5EFE3" w:color="auto" w:val="clear"/>
            <w:tcMar>
              <w:top w:type="dxa" w:w="80"/>
              <w:left w:type="dxa" w:w="100"/>
              <w:bottom w:type="dxa" w:w="80"/>
              <w:right w:type="dxa" w:w="100"/>
            </w:tcMar>
          </w:tcPr>
          <w:p>
            <w:pPr>
              <w:jc w:val="center"/>
            </w:pPr>
            <w:r>
              <w:rPr>
                <w:b w:val="false"/>
                <w:bCs w:val="false"/>
                <w:color w:val="20180F"/>
                <w:sz w:val="19"/>
                <w:szCs w:val="19"/>
              </w:rPr>
              <w:t xml:space="preserve">Trans.</w:t>
            </w:r>
          </w:p>
        </w:tc>
        <w:tc>
          <w:tcPr>
            <w:tcW w:type="dxa" w:w="3660"/>
            <w:shd w:fill="F5EFE3" w:color="auto" w:val="clear"/>
            <w:tcMar>
              <w:top w:type="dxa" w:w="80"/>
              <w:left w:type="dxa" w:w="100"/>
              <w:bottom w:type="dxa" w:w="80"/>
              <w:right w:type="dxa" w:w="100"/>
            </w:tcMar>
          </w:tcPr>
          <w:p>
            <w:pPr>
              <w:jc w:val="center"/>
            </w:pPr>
            <w:r>
              <w:rPr>
                <w:b w:val="false"/>
                <w:bCs w:val="false"/>
                <w:color w:val="20180F"/>
                <w:sz w:val="19"/>
                <w:szCs w:val="19"/>
              </w:rPr>
              <w:t xml:space="preserve">Highest-volume keyword directly on brand; low-medium difficulty.</w:t>
            </w:r>
          </w:p>
        </w:tc>
      </w:tr>
      <w:tr>
        <w:tc>
          <w:tcPr>
            <w:tcW w:type="dxa" w:w="1900"/>
            <w:tcMar>
              <w:top w:type="dxa" w:w="80"/>
              <w:left w:type="dxa" w:w="100"/>
              <w:bottom w:type="dxa" w:w="80"/>
              <w:right w:type="dxa" w:w="100"/>
            </w:tcMar>
          </w:tcPr>
          <w:p>
            <w:pPr>
              <w:jc w:val="left"/>
            </w:pPr>
            <w:r>
              <w:rPr>
                <w:b w:val="false"/>
                <w:bCs w:val="false"/>
                <w:color w:val="20180F"/>
                <w:sz w:val="19"/>
                <w:szCs w:val="19"/>
              </w:rPr>
              <w:t xml:space="preserve">new condo in pj</w:t>
            </w:r>
          </w:p>
        </w:tc>
        <w:tc>
          <w:tcPr>
            <w:tcW w:type="dxa" w:w="800"/>
            <w:tcMar>
              <w:top w:type="dxa" w:w="80"/>
              <w:left w:type="dxa" w:w="100"/>
              <w:bottom w:type="dxa" w:w="80"/>
              <w:right w:type="dxa" w:w="100"/>
            </w:tcMar>
          </w:tcPr>
          <w:p>
            <w:pPr>
              <w:jc w:val="center"/>
            </w:pPr>
            <w:r>
              <w:rPr>
                <w:b w:val="false"/>
                <w:bCs w:val="false"/>
                <w:color w:val="20180F"/>
                <w:sz w:val="19"/>
                <w:szCs w:val="19"/>
              </w:rPr>
              <w:t xml:space="preserve">260</w:t>
            </w:r>
          </w:p>
        </w:tc>
        <w:tc>
          <w:tcPr>
            <w:tcW w:type="dxa" w:w="700"/>
            <w:tcMar>
              <w:top w:type="dxa" w:w="80"/>
              <w:left w:type="dxa" w:w="100"/>
              <w:bottom w:type="dxa" w:w="80"/>
              <w:right w:type="dxa" w:w="100"/>
            </w:tcMar>
          </w:tcPr>
          <w:p>
            <w:pPr>
              <w:jc w:val="center"/>
            </w:pPr>
            <w:r>
              <w:rPr>
                <w:b w:val="false"/>
                <w:bCs w:val="false"/>
                <w:color w:val="20180F"/>
                <w:sz w:val="19"/>
                <w:szCs w:val="19"/>
              </w:rPr>
              <w:t xml:space="preserve">14%</w:t>
            </w:r>
          </w:p>
        </w:tc>
        <w:tc>
          <w:tcPr>
            <w:tcW w:type="dxa" w:w="800"/>
            <w:tcMar>
              <w:top w:type="dxa" w:w="80"/>
              <w:left w:type="dxa" w:w="100"/>
              <w:bottom w:type="dxa" w:w="80"/>
              <w:right w:type="dxa" w:w="100"/>
            </w:tcMar>
          </w:tcPr>
          <w:p>
            <w:pPr>
              <w:jc w:val="center"/>
            </w:pPr>
            <w:r>
              <w:rPr>
                <w:b w:val="false"/>
                <w:bCs w:val="false"/>
                <w:color w:val="20180F"/>
                <w:sz w:val="19"/>
                <w:szCs w:val="19"/>
              </w:rPr>
              <w:t xml:space="preserve">RM1.76</w:t>
            </w:r>
          </w:p>
        </w:tc>
        <w:tc>
          <w:tcPr>
            <w:tcW w:type="dxa" w:w="1000"/>
            <w:tcMar>
              <w:top w:type="dxa" w:w="80"/>
              <w:left w:type="dxa" w:w="100"/>
              <w:bottom w:type="dxa" w:w="80"/>
              <w:right w:type="dxa" w:w="100"/>
            </w:tcMar>
          </w:tcPr>
          <w:p>
            <w:pPr>
              <w:jc w:val="center"/>
            </w:pPr>
            <w:r>
              <w:rPr>
                <w:b w:val="false"/>
                <w:bCs w:val="false"/>
                <w:color w:val="20180F"/>
                <w:sz w:val="19"/>
                <w:szCs w:val="19"/>
              </w:rPr>
              <w:t xml:space="preserve">Comm.</w:t>
            </w:r>
          </w:p>
        </w:tc>
        <w:tc>
          <w:tcPr>
            <w:tcW w:type="dxa" w:w="3660"/>
            <w:tcMar>
              <w:top w:type="dxa" w:w="80"/>
              <w:left w:type="dxa" w:w="100"/>
              <w:bottom w:type="dxa" w:w="80"/>
              <w:right w:type="dxa" w:w="100"/>
            </w:tcMar>
          </w:tcPr>
          <w:p>
            <w:pPr>
              <w:jc w:val="center"/>
            </w:pPr>
            <w:r>
              <w:rPr>
                <w:b w:val="false"/>
                <w:bCs w:val="false"/>
                <w:color w:val="20180F"/>
                <w:sz w:val="19"/>
                <w:szCs w:val="19"/>
              </w:rPr>
              <w:t xml:space="preserve">Best volume-to-difficulty ratio in the whole list; highest CPC, signals strong buyer intent.</w:t>
            </w:r>
          </w:p>
        </w:tc>
      </w:tr>
      <w:tr>
        <w:tc>
          <w:tcPr>
            <w:tcW w:type="dxa" w:w="1900"/>
            <w:shd w:fill="F5EFE3" w:color="auto" w:val="clear"/>
            <w:tcMar>
              <w:top w:type="dxa" w:w="80"/>
              <w:left w:type="dxa" w:w="100"/>
              <w:bottom w:type="dxa" w:w="80"/>
              <w:right w:type="dxa" w:w="100"/>
            </w:tcMar>
          </w:tcPr>
          <w:p>
            <w:pPr>
              <w:jc w:val="left"/>
            </w:pPr>
            <w:r>
              <w:rPr>
                <w:b w:val="false"/>
                <w:bCs w:val="false"/>
                <w:color w:val="20180F"/>
                <w:sz w:val="19"/>
                <w:szCs w:val="19"/>
              </w:rPr>
              <w:t xml:space="preserve">condo in pj</w:t>
            </w:r>
          </w:p>
        </w:tc>
        <w:tc>
          <w:tcPr>
            <w:tcW w:type="dxa" w:w="800"/>
            <w:shd w:fill="F5EFE3" w:color="auto" w:val="clear"/>
            <w:tcMar>
              <w:top w:type="dxa" w:w="80"/>
              <w:left w:type="dxa" w:w="100"/>
              <w:bottom w:type="dxa" w:w="80"/>
              <w:right w:type="dxa" w:w="100"/>
            </w:tcMar>
          </w:tcPr>
          <w:p>
            <w:pPr>
              <w:jc w:val="center"/>
            </w:pPr>
            <w:r>
              <w:rPr>
                <w:b w:val="false"/>
                <w:bCs w:val="false"/>
                <w:color w:val="20180F"/>
                <w:sz w:val="19"/>
                <w:szCs w:val="19"/>
              </w:rPr>
              <w:t xml:space="preserve">260</w:t>
            </w:r>
          </w:p>
        </w:tc>
        <w:tc>
          <w:tcPr>
            <w:tcW w:type="dxa" w:w="700"/>
            <w:shd w:fill="F5EFE3" w:color="auto" w:val="clear"/>
            <w:tcMar>
              <w:top w:type="dxa" w:w="80"/>
              <w:left w:type="dxa" w:w="100"/>
              <w:bottom w:type="dxa" w:w="80"/>
              <w:right w:type="dxa" w:w="100"/>
            </w:tcMar>
          </w:tcPr>
          <w:p>
            <w:pPr>
              <w:jc w:val="center"/>
            </w:pPr>
            <w:r>
              <w:rPr>
                <w:b w:val="false"/>
                <w:bCs w:val="false"/>
                <w:color w:val="20180F"/>
                <w:sz w:val="19"/>
                <w:szCs w:val="19"/>
              </w:rPr>
              <w:t xml:space="preserve">17%</w:t>
            </w:r>
          </w:p>
        </w:tc>
        <w:tc>
          <w:tcPr>
            <w:tcW w:type="dxa" w:w="800"/>
            <w:shd w:fill="F5EFE3" w:color="auto" w:val="clear"/>
            <w:tcMar>
              <w:top w:type="dxa" w:w="80"/>
              <w:left w:type="dxa" w:w="100"/>
              <w:bottom w:type="dxa" w:w="80"/>
              <w:right w:type="dxa" w:w="100"/>
            </w:tcMar>
          </w:tcPr>
          <w:p>
            <w:pPr>
              <w:jc w:val="center"/>
            </w:pPr>
            <w:r>
              <w:rPr>
                <w:b w:val="false"/>
                <w:bCs w:val="false"/>
                <w:color w:val="20180F"/>
                <w:sz w:val="19"/>
                <w:szCs w:val="19"/>
              </w:rPr>
              <w:t xml:space="preserve">RM1.18</w:t>
            </w:r>
          </w:p>
        </w:tc>
        <w:tc>
          <w:tcPr>
            <w:tcW w:type="dxa" w:w="1000"/>
            <w:shd w:fill="F5EFE3" w:color="auto" w:val="clear"/>
            <w:tcMar>
              <w:top w:type="dxa" w:w="80"/>
              <w:left w:type="dxa" w:w="100"/>
              <w:bottom w:type="dxa" w:w="80"/>
              <w:right w:type="dxa" w:w="100"/>
            </w:tcMar>
          </w:tcPr>
          <w:p>
            <w:pPr>
              <w:jc w:val="center"/>
            </w:pPr>
            <w:r>
              <w:rPr>
                <w:b w:val="false"/>
                <w:bCs w:val="false"/>
                <w:color w:val="20180F"/>
                <w:sz w:val="19"/>
                <w:szCs w:val="19"/>
              </w:rPr>
              <w:t xml:space="preserve">Comm.</w:t>
            </w:r>
          </w:p>
        </w:tc>
        <w:tc>
          <w:tcPr>
            <w:tcW w:type="dxa" w:w="3660"/>
            <w:shd w:fill="F5EFE3" w:color="auto" w:val="clear"/>
            <w:tcMar>
              <w:top w:type="dxa" w:w="80"/>
              <w:left w:type="dxa" w:w="100"/>
              <w:bottom w:type="dxa" w:w="80"/>
              <w:right w:type="dxa" w:w="100"/>
            </w:tcMar>
          </w:tcPr>
          <w:p>
            <w:pPr>
              <w:jc w:val="center"/>
            </w:pPr>
            <w:r>
              <w:rPr>
                <w:b w:val="false"/>
                <w:bCs w:val="false"/>
                <w:color w:val="20180F"/>
                <w:sz w:val="19"/>
                <w:szCs w:val="19"/>
              </w:rPr>
              <w:t xml:space="preserve">Core category term, low difficulty, easy to rank for.</w:t>
            </w:r>
          </w:p>
        </w:tc>
      </w:tr>
      <w:tr>
        <w:tc>
          <w:tcPr>
            <w:tcW w:type="dxa" w:w="1900"/>
            <w:tcMar>
              <w:top w:type="dxa" w:w="80"/>
              <w:left w:type="dxa" w:w="100"/>
              <w:bottom w:type="dxa" w:w="80"/>
              <w:right w:type="dxa" w:w="100"/>
            </w:tcMar>
          </w:tcPr>
          <w:p>
            <w:pPr>
              <w:jc w:val="left"/>
            </w:pPr>
            <w:r>
              <w:rPr>
                <w:b w:val="false"/>
                <w:bCs w:val="false"/>
                <w:color w:val="20180F"/>
                <w:sz w:val="19"/>
                <w:szCs w:val="19"/>
              </w:rPr>
              <w:t xml:space="preserve">condo for sale in pj</w:t>
            </w:r>
          </w:p>
        </w:tc>
        <w:tc>
          <w:tcPr>
            <w:tcW w:type="dxa" w:w="800"/>
            <w:tcMar>
              <w:top w:type="dxa" w:w="80"/>
              <w:left w:type="dxa" w:w="100"/>
              <w:bottom w:type="dxa" w:w="80"/>
              <w:right w:type="dxa" w:w="100"/>
            </w:tcMar>
          </w:tcPr>
          <w:p>
            <w:pPr>
              <w:jc w:val="center"/>
            </w:pPr>
            <w:r>
              <w:rPr>
                <w:b w:val="false"/>
                <w:bCs w:val="false"/>
                <w:color w:val="20180F"/>
                <w:sz w:val="19"/>
                <w:szCs w:val="19"/>
              </w:rPr>
              <w:t xml:space="preserve">260</w:t>
            </w:r>
          </w:p>
        </w:tc>
        <w:tc>
          <w:tcPr>
            <w:tcW w:type="dxa" w:w="700"/>
            <w:tcMar>
              <w:top w:type="dxa" w:w="80"/>
              <w:left w:type="dxa" w:w="100"/>
              <w:bottom w:type="dxa" w:w="80"/>
              <w:right w:type="dxa" w:w="100"/>
            </w:tcMar>
          </w:tcPr>
          <w:p>
            <w:pPr>
              <w:jc w:val="center"/>
            </w:pPr>
            <w:r>
              <w:rPr>
                <w:b w:val="false"/>
                <w:bCs w:val="false"/>
                <w:color w:val="20180F"/>
                <w:sz w:val="19"/>
                <w:szCs w:val="19"/>
              </w:rPr>
              <w:t xml:space="preserve">19%</w:t>
            </w:r>
          </w:p>
        </w:tc>
        <w:tc>
          <w:tcPr>
            <w:tcW w:type="dxa" w:w="800"/>
            <w:tcMar>
              <w:top w:type="dxa" w:w="80"/>
              <w:left w:type="dxa" w:w="100"/>
              <w:bottom w:type="dxa" w:w="80"/>
              <w:right w:type="dxa" w:w="100"/>
            </w:tcMar>
          </w:tcPr>
          <w:p>
            <w:pPr>
              <w:jc w:val="center"/>
            </w:pPr>
            <w:r>
              <w:rPr>
                <w:b w:val="false"/>
                <w:bCs w:val="false"/>
                <w:color w:val="20180F"/>
                <w:sz w:val="19"/>
                <w:szCs w:val="19"/>
              </w:rPr>
              <w:t xml:space="preserve">RM1.39</w:t>
            </w:r>
          </w:p>
        </w:tc>
        <w:tc>
          <w:tcPr>
            <w:tcW w:type="dxa" w:w="1000"/>
            <w:tcMar>
              <w:top w:type="dxa" w:w="80"/>
              <w:left w:type="dxa" w:w="100"/>
              <w:bottom w:type="dxa" w:w="80"/>
              <w:right w:type="dxa" w:w="100"/>
            </w:tcMar>
          </w:tcPr>
          <w:p>
            <w:pPr>
              <w:jc w:val="center"/>
            </w:pPr>
            <w:r>
              <w:rPr>
                <w:b w:val="false"/>
                <w:bCs w:val="false"/>
                <w:color w:val="20180F"/>
                <w:sz w:val="19"/>
                <w:szCs w:val="19"/>
              </w:rPr>
              <w:t xml:space="preserve">Info.</w:t>
            </w:r>
          </w:p>
        </w:tc>
        <w:tc>
          <w:tcPr>
            <w:tcW w:type="dxa" w:w="3660"/>
            <w:tcMar>
              <w:top w:type="dxa" w:w="80"/>
              <w:left w:type="dxa" w:w="100"/>
              <w:bottom w:type="dxa" w:w="80"/>
              <w:right w:type="dxa" w:w="100"/>
            </w:tcMar>
          </w:tcPr>
          <w:p>
            <w:pPr>
              <w:jc w:val="center"/>
            </w:pPr>
            <w:r>
              <w:rPr>
                <w:b w:val="false"/>
                <w:bCs w:val="false"/>
                <w:color w:val="20180F"/>
                <w:sz w:val="19"/>
                <w:szCs w:val="19"/>
              </w:rPr>
              <w:t xml:space="preserve">Matches the transaction type (this is a for-sale launch).</w:t>
            </w:r>
          </w:p>
        </w:tc>
      </w:tr>
      <w:tr>
        <w:tc>
          <w:tcPr>
            <w:tcW w:type="dxa" w:w="1900"/>
            <w:shd w:fill="F5EFE3" w:color="auto" w:val="clear"/>
            <w:tcMar>
              <w:top w:type="dxa" w:w="80"/>
              <w:left w:type="dxa" w:w="100"/>
              <w:bottom w:type="dxa" w:w="80"/>
              <w:right w:type="dxa" w:w="100"/>
            </w:tcMar>
          </w:tcPr>
          <w:p>
            <w:pPr>
              <w:jc w:val="left"/>
            </w:pPr>
            <w:r>
              <w:rPr>
                <w:b w:val="false"/>
                <w:bCs w:val="false"/>
                <w:color w:val="20180F"/>
                <w:sz w:val="19"/>
                <w:szCs w:val="19"/>
              </w:rPr>
              <w:t xml:space="preserve">pj new property</w:t>
            </w:r>
          </w:p>
        </w:tc>
        <w:tc>
          <w:tcPr>
            <w:tcW w:type="dxa" w:w="800"/>
            <w:shd w:fill="F5EFE3" w:color="auto" w:val="clear"/>
            <w:tcMar>
              <w:top w:type="dxa" w:w="80"/>
              <w:left w:type="dxa" w:w="100"/>
              <w:bottom w:type="dxa" w:w="80"/>
              <w:right w:type="dxa" w:w="100"/>
            </w:tcMar>
          </w:tcPr>
          <w:p>
            <w:pPr>
              <w:jc w:val="center"/>
            </w:pPr>
            <w:r>
              <w:rPr>
                <w:b w:val="false"/>
                <w:bCs w:val="false"/>
                <w:color w:val="20180F"/>
                <w:sz w:val="19"/>
                <w:szCs w:val="19"/>
              </w:rPr>
              <w:t xml:space="preserve">20</w:t>
            </w:r>
          </w:p>
        </w:tc>
        <w:tc>
          <w:tcPr>
            <w:tcW w:type="dxa" w:w="700"/>
            <w:shd w:fill="F5EFE3" w:color="auto" w:val="clear"/>
            <w:tcMar>
              <w:top w:type="dxa" w:w="80"/>
              <w:left w:type="dxa" w:w="100"/>
              <w:bottom w:type="dxa" w:w="80"/>
              <w:right w:type="dxa" w:w="100"/>
            </w:tcMar>
          </w:tcPr>
          <w:p>
            <w:pPr>
              <w:jc w:val="center"/>
            </w:pPr>
            <w:r>
              <w:rPr>
                <w:b w:val="false"/>
                <w:bCs w:val="false"/>
                <w:color w:val="20180F"/>
                <w:sz w:val="19"/>
                <w:szCs w:val="19"/>
              </w:rPr>
              <w:t xml:space="preserve">n/a</w:t>
            </w:r>
          </w:p>
        </w:tc>
        <w:tc>
          <w:tcPr>
            <w:tcW w:type="dxa" w:w="800"/>
            <w:shd w:fill="F5EFE3" w:color="auto" w:val="clear"/>
            <w:tcMar>
              <w:top w:type="dxa" w:w="80"/>
              <w:left w:type="dxa" w:w="100"/>
              <w:bottom w:type="dxa" w:w="80"/>
              <w:right w:type="dxa" w:w="100"/>
            </w:tcMar>
          </w:tcPr>
          <w:p>
            <w:pPr>
              <w:jc w:val="center"/>
            </w:pPr>
            <w:r>
              <w:rPr>
                <w:b w:val="false"/>
                <w:bCs w:val="false"/>
                <w:color w:val="20180F"/>
                <w:sz w:val="19"/>
                <w:szCs w:val="19"/>
              </w:rPr>
              <w:t xml:space="preserve">RM0.53</w:t>
            </w:r>
          </w:p>
        </w:tc>
        <w:tc>
          <w:tcPr>
            <w:tcW w:type="dxa" w:w="1000"/>
            <w:shd w:fill="F5EFE3" w:color="auto" w:val="clear"/>
            <w:tcMar>
              <w:top w:type="dxa" w:w="80"/>
              <w:left w:type="dxa" w:w="100"/>
              <w:bottom w:type="dxa" w:w="80"/>
              <w:right w:type="dxa" w:w="100"/>
            </w:tcMar>
          </w:tcPr>
          <w:p>
            <w:pPr>
              <w:jc w:val="center"/>
            </w:pPr>
            <w:r>
              <w:rPr>
                <w:b w:val="false"/>
                <w:bCs w:val="false"/>
                <w:color w:val="20180F"/>
                <w:sz w:val="19"/>
                <w:szCs w:val="19"/>
              </w:rPr>
              <w:t xml:space="preserve">n/a</w:t>
            </w:r>
          </w:p>
        </w:tc>
        <w:tc>
          <w:tcPr>
            <w:tcW w:type="dxa" w:w="3660"/>
            <w:shd w:fill="F5EFE3" w:color="auto" w:val="clear"/>
            <w:tcMar>
              <w:top w:type="dxa" w:w="80"/>
              <w:left w:type="dxa" w:w="100"/>
              <w:bottom w:type="dxa" w:w="80"/>
              <w:right w:type="dxa" w:w="100"/>
            </w:tcMar>
          </w:tcPr>
          <w:p>
            <w:pPr>
              <w:jc w:val="center"/>
            </w:pPr>
            <w:r>
              <w:rPr>
                <w:b w:val="false"/>
                <w:bCs w:val="false"/>
                <w:color w:val="20180F"/>
                <w:sz w:val="19"/>
                <w:szCs w:val="19"/>
              </w:rPr>
              <w:t xml:space="preserve">Low volume but exact-match phrase, easy long-tail win.</w:t>
            </w:r>
          </w:p>
        </w:tc>
      </w:tr>
      <w:tr>
        <w:tc>
          <w:tcPr>
            <w:tcW w:type="dxa" w:w="1900"/>
            <w:tcMar>
              <w:top w:type="dxa" w:w="80"/>
              <w:left w:type="dxa" w:w="100"/>
              <w:bottom w:type="dxa" w:w="80"/>
              <w:right w:type="dxa" w:w="100"/>
            </w:tcMar>
          </w:tcPr>
          <w:p>
            <w:pPr>
              <w:jc w:val="left"/>
            </w:pPr>
            <w:r>
              <w:rPr>
                <w:b w:val="false"/>
                <w:bCs w:val="false"/>
                <w:color w:val="20180F"/>
                <w:sz w:val="19"/>
                <w:szCs w:val="19"/>
              </w:rPr>
              <w:t xml:space="preserve">new property launch in pj</w:t>
            </w:r>
          </w:p>
        </w:tc>
        <w:tc>
          <w:tcPr>
            <w:tcW w:type="dxa" w:w="800"/>
            <w:tcMar>
              <w:top w:type="dxa" w:w="80"/>
              <w:left w:type="dxa" w:w="100"/>
              <w:bottom w:type="dxa" w:w="80"/>
              <w:right w:type="dxa" w:w="100"/>
            </w:tcMar>
          </w:tcPr>
          <w:p>
            <w:pPr>
              <w:jc w:val="center"/>
            </w:pPr>
            <w:r>
              <w:rPr>
                <w:b w:val="false"/>
                <w:bCs w:val="false"/>
                <w:color w:val="20180F"/>
                <w:sz w:val="19"/>
                <w:szCs w:val="19"/>
              </w:rPr>
              <w:t xml:space="preserve">20</w:t>
            </w:r>
          </w:p>
        </w:tc>
        <w:tc>
          <w:tcPr>
            <w:tcW w:type="dxa" w:w="700"/>
            <w:tcMar>
              <w:top w:type="dxa" w:w="80"/>
              <w:left w:type="dxa" w:w="100"/>
              <w:bottom w:type="dxa" w:w="80"/>
              <w:right w:type="dxa" w:w="100"/>
            </w:tcMar>
          </w:tcPr>
          <w:p>
            <w:pPr>
              <w:jc w:val="center"/>
            </w:pPr>
            <w:r>
              <w:rPr>
                <w:b w:val="false"/>
                <w:bCs w:val="false"/>
                <w:color w:val="20180F"/>
                <w:sz w:val="19"/>
                <w:szCs w:val="19"/>
              </w:rPr>
              <w:t xml:space="preserve">n/a</w:t>
            </w:r>
          </w:p>
        </w:tc>
        <w:tc>
          <w:tcPr>
            <w:tcW w:type="dxa" w:w="800"/>
            <w:tcMar>
              <w:top w:type="dxa" w:w="80"/>
              <w:left w:type="dxa" w:w="100"/>
              <w:bottom w:type="dxa" w:w="80"/>
              <w:right w:type="dxa" w:w="100"/>
            </w:tcMar>
          </w:tcPr>
          <w:p>
            <w:pPr>
              <w:jc w:val="center"/>
            </w:pPr>
            <w:r>
              <w:rPr>
                <w:b w:val="false"/>
                <w:bCs w:val="false"/>
                <w:color w:val="20180F"/>
                <w:sz w:val="19"/>
                <w:szCs w:val="19"/>
              </w:rPr>
              <w:t xml:space="preserve">RM0.53</w:t>
            </w:r>
          </w:p>
        </w:tc>
        <w:tc>
          <w:tcPr>
            <w:tcW w:type="dxa" w:w="1000"/>
            <w:tcMar>
              <w:top w:type="dxa" w:w="80"/>
              <w:left w:type="dxa" w:w="100"/>
              <w:bottom w:type="dxa" w:w="80"/>
              <w:right w:type="dxa" w:w="100"/>
            </w:tcMar>
          </w:tcPr>
          <w:p>
            <w:pPr>
              <w:jc w:val="center"/>
            </w:pPr>
            <w:r>
              <w:rPr>
                <w:b w:val="false"/>
                <w:bCs w:val="false"/>
                <w:color w:val="20180F"/>
                <w:sz w:val="19"/>
                <w:szCs w:val="19"/>
              </w:rPr>
              <w:t xml:space="preserve">n/a</w:t>
            </w:r>
          </w:p>
        </w:tc>
        <w:tc>
          <w:tcPr>
            <w:tcW w:type="dxa" w:w="3660"/>
            <w:tcMar>
              <w:top w:type="dxa" w:w="80"/>
              <w:left w:type="dxa" w:w="100"/>
              <w:bottom w:type="dxa" w:w="80"/>
              <w:right w:type="dxa" w:w="100"/>
            </w:tcMar>
          </w:tcPr>
          <w:p>
            <w:pPr>
              <w:jc w:val="center"/>
            </w:pPr>
            <w:r>
              <w:rPr>
                <w:b w:val="false"/>
                <w:bCs w:val="false"/>
                <w:color w:val="20180F"/>
                <w:sz w:val="19"/>
                <w:szCs w:val="19"/>
              </w:rPr>
              <w:t xml:space="preserve">Long-tail phrase matching “prelaunch” positioning.</w:t>
            </w:r>
          </w:p>
        </w:tc>
      </w:tr>
      <w:tr>
        <w:tc>
          <w:tcPr>
            <w:tcW w:type="dxa" w:w="1900"/>
            <w:shd w:fill="F5EFE3" w:color="auto" w:val="clear"/>
            <w:tcMar>
              <w:top w:type="dxa" w:w="80"/>
              <w:left w:type="dxa" w:w="100"/>
              <w:bottom w:type="dxa" w:w="80"/>
              <w:right w:type="dxa" w:w="100"/>
            </w:tcMar>
          </w:tcPr>
          <w:p>
            <w:pPr>
              <w:jc w:val="left"/>
            </w:pPr>
            <w:r>
              <w:rPr>
                <w:b w:val="false"/>
                <w:bCs w:val="false"/>
                <w:color w:val="20180F"/>
                <w:sz w:val="19"/>
                <w:szCs w:val="19"/>
              </w:rPr>
              <w:t xml:space="preserve">pj properties</w:t>
            </w:r>
          </w:p>
        </w:tc>
        <w:tc>
          <w:tcPr>
            <w:tcW w:type="dxa" w:w="800"/>
            <w:shd w:fill="F5EFE3" w:color="auto" w:val="clear"/>
            <w:tcMar>
              <w:top w:type="dxa" w:w="80"/>
              <w:left w:type="dxa" w:w="100"/>
              <w:bottom w:type="dxa" w:w="80"/>
              <w:right w:type="dxa" w:w="100"/>
            </w:tcMar>
          </w:tcPr>
          <w:p>
            <w:pPr>
              <w:jc w:val="center"/>
            </w:pPr>
            <w:r>
              <w:rPr>
                <w:b w:val="false"/>
                <w:bCs w:val="false"/>
                <w:color w:val="20180F"/>
                <w:sz w:val="19"/>
                <w:szCs w:val="19"/>
              </w:rPr>
              <w:t xml:space="preserve">20</w:t>
            </w:r>
          </w:p>
        </w:tc>
        <w:tc>
          <w:tcPr>
            <w:tcW w:type="dxa" w:w="700"/>
            <w:shd w:fill="F5EFE3" w:color="auto" w:val="clear"/>
            <w:tcMar>
              <w:top w:type="dxa" w:w="80"/>
              <w:left w:type="dxa" w:w="100"/>
              <w:bottom w:type="dxa" w:w="80"/>
              <w:right w:type="dxa" w:w="100"/>
            </w:tcMar>
          </w:tcPr>
          <w:p>
            <w:pPr>
              <w:jc w:val="center"/>
            </w:pPr>
            <w:r>
              <w:rPr>
                <w:b w:val="false"/>
                <w:bCs w:val="false"/>
                <w:color w:val="20180F"/>
                <w:sz w:val="19"/>
                <w:szCs w:val="19"/>
              </w:rPr>
              <w:t xml:space="preserve">n/a</w:t>
            </w:r>
          </w:p>
        </w:tc>
        <w:tc>
          <w:tcPr>
            <w:tcW w:type="dxa" w:w="800"/>
            <w:shd w:fill="F5EFE3" w:color="auto" w:val="clear"/>
            <w:tcMar>
              <w:top w:type="dxa" w:w="80"/>
              <w:left w:type="dxa" w:w="100"/>
              <w:bottom w:type="dxa" w:w="80"/>
              <w:right w:type="dxa" w:w="100"/>
            </w:tcMar>
          </w:tcPr>
          <w:p>
            <w:pPr>
              <w:jc w:val="center"/>
            </w:pPr>
            <w:r>
              <w:rPr>
                <w:b w:val="false"/>
                <w:bCs w:val="false"/>
                <w:color w:val="20180F"/>
                <w:sz w:val="19"/>
                <w:szCs w:val="19"/>
              </w:rPr>
              <w:t xml:space="preserve">RM0.42</w:t>
            </w:r>
          </w:p>
        </w:tc>
        <w:tc>
          <w:tcPr>
            <w:tcW w:type="dxa" w:w="1000"/>
            <w:shd w:fill="F5EFE3" w:color="auto" w:val="clear"/>
            <w:tcMar>
              <w:top w:type="dxa" w:w="80"/>
              <w:left w:type="dxa" w:w="100"/>
              <w:bottom w:type="dxa" w:w="80"/>
              <w:right w:type="dxa" w:w="100"/>
            </w:tcMar>
          </w:tcPr>
          <w:p>
            <w:pPr>
              <w:jc w:val="center"/>
            </w:pPr>
            <w:r>
              <w:rPr>
                <w:b w:val="false"/>
                <w:bCs w:val="false"/>
                <w:color w:val="20180F"/>
                <w:sz w:val="19"/>
                <w:szCs w:val="19"/>
              </w:rPr>
              <w:t xml:space="preserve">n/a</w:t>
            </w:r>
          </w:p>
        </w:tc>
        <w:tc>
          <w:tcPr>
            <w:tcW w:type="dxa" w:w="3660"/>
            <w:shd w:fill="F5EFE3" w:color="auto" w:val="clear"/>
            <w:tcMar>
              <w:top w:type="dxa" w:w="80"/>
              <w:left w:type="dxa" w:w="100"/>
              <w:bottom w:type="dxa" w:w="80"/>
              <w:right w:type="dxa" w:w="100"/>
            </w:tcMar>
          </w:tcPr>
          <w:p>
            <w:pPr>
              <w:jc w:val="center"/>
            </w:pPr>
            <w:r>
              <w:rPr>
                <w:b w:val="false"/>
                <w:bCs w:val="false"/>
                <w:color w:val="20180F"/>
                <w:sz w:val="19"/>
                <w:szCs w:val="19"/>
              </w:rPr>
              <w:t xml:space="preserve">Broad but low-competition catch-all for the area.</w:t>
            </w:r>
          </w:p>
        </w:tc>
      </w:tr>
    </w:tbl>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00"/>
        <w:gridCol w:w="700"/>
        <w:gridCol w:w="800"/>
        <w:gridCol w:w="1000"/>
        <w:gridCol w:w="3660"/>
      </w:tblGrid>
      <w:tr>
        <w:trPr>
          <w:tblHeader/>
        </w:trPr>
        <w:tc>
          <w:tcPr>
            <w:tcW w:type="dxa" w:w="1900"/>
            <w:shd w:fill="20180F" w:color="auto" w:val="clear"/>
            <w:tcMar>
              <w:top w:type="dxa" w:w="80"/>
              <w:left w:type="dxa" w:w="100"/>
              <w:bottom w:type="dxa" w:w="80"/>
              <w:right w:type="dxa" w:w="100"/>
            </w:tcMar>
          </w:tcPr>
          <w:p>
            <w:pPr>
              <w:jc w:val="left"/>
            </w:pPr>
            <w:r>
              <w:rPr>
                <w:b/>
                <w:bCs/>
                <w:color w:val="FFFFFF"/>
                <w:sz w:val="18"/>
                <w:szCs w:val="18"/>
              </w:rPr>
              <w:t xml:space="preserve">Keyword</w:t>
            </w:r>
          </w:p>
        </w:tc>
        <w:tc>
          <w:tcPr>
            <w:tcW w:type="dxa" w:w="800"/>
            <w:shd w:fill="20180F" w:color="auto" w:val="clear"/>
            <w:tcMar>
              <w:top w:type="dxa" w:w="80"/>
              <w:left w:type="dxa" w:w="100"/>
              <w:bottom w:type="dxa" w:w="80"/>
              <w:right w:type="dxa" w:w="100"/>
            </w:tcMar>
          </w:tcPr>
          <w:p>
            <w:pPr>
              <w:jc w:val="left"/>
            </w:pPr>
            <w:r>
              <w:rPr>
                <w:b/>
                <w:bCs/>
                <w:color w:val="FFFFFF"/>
                <w:sz w:val="18"/>
                <w:szCs w:val="18"/>
              </w:rPr>
              <w:t xml:space="preserve">Volume</w:t>
            </w:r>
          </w:p>
        </w:tc>
        <w:tc>
          <w:tcPr>
            <w:tcW w:type="dxa" w:w="700"/>
            <w:shd w:fill="20180F" w:color="auto" w:val="clear"/>
            <w:tcMar>
              <w:top w:type="dxa" w:w="80"/>
              <w:left w:type="dxa" w:w="100"/>
              <w:bottom w:type="dxa" w:w="80"/>
              <w:right w:type="dxa" w:w="100"/>
            </w:tcMar>
          </w:tcPr>
          <w:p>
            <w:pPr>
              <w:jc w:val="left"/>
            </w:pPr>
            <w:r>
              <w:rPr>
                <w:b/>
                <w:bCs/>
                <w:color w:val="FFFFFF"/>
                <w:sz w:val="18"/>
                <w:szCs w:val="18"/>
              </w:rPr>
              <w:t xml:space="preserve">KD %</w:t>
            </w:r>
          </w:p>
        </w:tc>
        <w:tc>
          <w:tcPr>
            <w:tcW w:type="dxa" w:w="800"/>
            <w:shd w:fill="20180F" w:color="auto" w:val="clear"/>
            <w:tcMar>
              <w:top w:type="dxa" w:w="80"/>
              <w:left w:type="dxa" w:w="100"/>
              <w:bottom w:type="dxa" w:w="80"/>
              <w:right w:type="dxa" w:w="100"/>
            </w:tcMar>
          </w:tcPr>
          <w:p>
            <w:pPr>
              <w:jc w:val="left"/>
            </w:pPr>
            <w:r>
              <w:rPr>
                <w:b/>
                <w:bCs/>
                <w:color w:val="FFFFFF"/>
                <w:sz w:val="18"/>
                <w:szCs w:val="18"/>
              </w:rPr>
              <w:t xml:space="preserve">CPC</w:t>
            </w:r>
          </w:p>
        </w:tc>
        <w:tc>
          <w:tcPr>
            <w:tcW w:type="dxa" w:w="1000"/>
            <w:shd w:fill="20180F" w:color="auto" w:val="clear"/>
            <w:tcMar>
              <w:top w:type="dxa" w:w="80"/>
              <w:left w:type="dxa" w:w="100"/>
              <w:bottom w:type="dxa" w:w="80"/>
              <w:right w:type="dxa" w:w="100"/>
            </w:tcMar>
          </w:tcPr>
          <w:p>
            <w:pPr>
              <w:jc w:val="left"/>
            </w:pPr>
            <w:r>
              <w:rPr>
                <w:b/>
                <w:bCs/>
                <w:color w:val="FFFFFF"/>
                <w:sz w:val="18"/>
                <w:szCs w:val="18"/>
              </w:rPr>
              <w:t xml:space="preserve">Intent</w:t>
            </w:r>
          </w:p>
        </w:tc>
        <w:tc>
          <w:tcPr>
            <w:tcW w:type="dxa" w:w="3660"/>
            <w:shd w:fill="20180F" w:color="auto" w:val="clear"/>
            <w:tcMar>
              <w:top w:type="dxa" w:w="80"/>
              <w:left w:type="dxa" w:w="100"/>
              <w:bottom w:type="dxa" w:w="80"/>
              <w:right w:type="dxa" w:w="100"/>
            </w:tcMar>
          </w:tcPr>
          <w:p>
            <w:pPr>
              <w:jc w:val="left"/>
            </w:pPr>
            <w:r>
              <w:rPr>
                <w:b/>
                <w:bCs/>
                <w:color w:val="FFFFFF"/>
                <w:sz w:val="18"/>
                <w:szCs w:val="18"/>
              </w:rPr>
              <w:t xml:space="preserve">Why it's a priority</w:t>
            </w:r>
          </w:p>
        </w:tc>
      </w:tr>
      <w:tr>
        <w:tc>
          <w:tcPr>
            <w:tcW w:type="dxa" w:w="1900"/>
            <w:tcMar>
              <w:top w:type="dxa" w:w="80"/>
              <w:left w:type="dxa" w:w="100"/>
              <w:bottom w:type="dxa" w:w="80"/>
              <w:right w:type="dxa" w:w="100"/>
            </w:tcMar>
          </w:tcPr>
          <w:p>
            <w:pPr>
              <w:jc w:val="left"/>
            </w:pPr>
            <w:r>
              <w:rPr>
                <w:b w:val="false"/>
                <w:bCs w:val="false"/>
                <w:color w:val="20180F"/>
                <w:sz w:val="19"/>
                <w:szCs w:val="19"/>
              </w:rPr>
              <w:t xml:space="preserve">pj landed property</w:t>
            </w:r>
          </w:p>
        </w:tc>
        <w:tc>
          <w:tcPr>
            <w:tcW w:type="dxa" w:w="800"/>
            <w:tcMar>
              <w:top w:type="dxa" w:w="80"/>
              <w:left w:type="dxa" w:w="100"/>
              <w:bottom w:type="dxa" w:w="80"/>
              <w:right w:type="dxa" w:w="100"/>
            </w:tcMar>
          </w:tcPr>
          <w:p>
            <w:pPr>
              <w:jc w:val="center"/>
            </w:pPr>
            <w:r>
              <w:rPr>
                <w:b w:val="false"/>
                <w:bCs w:val="false"/>
                <w:color w:val="20180F"/>
                <w:sz w:val="19"/>
                <w:szCs w:val="19"/>
              </w:rPr>
              <w:t xml:space="preserve">30</w:t>
            </w:r>
          </w:p>
        </w:tc>
        <w:tc>
          <w:tcPr>
            <w:tcW w:type="dxa" w:w="700"/>
            <w:tcMar>
              <w:top w:type="dxa" w:w="80"/>
              <w:left w:type="dxa" w:w="100"/>
              <w:bottom w:type="dxa" w:w="80"/>
              <w:right w:type="dxa" w:w="100"/>
            </w:tcMar>
          </w:tcPr>
          <w:p>
            <w:pPr>
              <w:jc w:val="center"/>
            </w:pPr>
            <w:r>
              <w:rPr>
                <w:b w:val="false"/>
                <w:bCs w:val="false"/>
                <w:color w:val="20180F"/>
                <w:sz w:val="19"/>
                <w:szCs w:val="19"/>
              </w:rPr>
              <w:t xml:space="preserve">n/a</w:t>
            </w:r>
          </w:p>
        </w:tc>
        <w:tc>
          <w:tcPr>
            <w:tcW w:type="dxa" w:w="800"/>
            <w:tcMar>
              <w:top w:type="dxa" w:w="80"/>
              <w:left w:type="dxa" w:w="100"/>
              <w:bottom w:type="dxa" w:w="80"/>
              <w:right w:type="dxa" w:w="100"/>
            </w:tcMar>
          </w:tcPr>
          <w:p>
            <w:pPr>
              <w:jc w:val="center"/>
            </w:pPr>
            <w:r>
              <w:rPr>
                <w:b w:val="false"/>
                <w:bCs w:val="false"/>
                <w:color w:val="20180F"/>
                <w:sz w:val="19"/>
                <w:szCs w:val="19"/>
              </w:rPr>
              <w:t xml:space="preserve">RM0.16</w:t>
            </w:r>
          </w:p>
        </w:tc>
        <w:tc>
          <w:tcPr>
            <w:tcW w:type="dxa" w:w="1000"/>
            <w:tcMar>
              <w:top w:type="dxa" w:w="80"/>
              <w:left w:type="dxa" w:w="100"/>
              <w:bottom w:type="dxa" w:w="80"/>
              <w:right w:type="dxa" w:w="100"/>
            </w:tcMar>
          </w:tcPr>
          <w:p>
            <w:pPr>
              <w:jc w:val="center"/>
            </w:pPr>
            <w:r>
              <w:rPr>
                <w:b w:val="false"/>
                <w:bCs w:val="false"/>
                <w:color w:val="20180F"/>
                <w:sz w:val="19"/>
                <w:szCs w:val="19"/>
              </w:rPr>
              <w:t xml:space="preserve">n/a</w:t>
            </w:r>
          </w:p>
        </w:tc>
        <w:tc>
          <w:tcPr>
            <w:tcW w:type="dxa" w:w="3660"/>
            <w:tcMar>
              <w:top w:type="dxa" w:w="80"/>
              <w:left w:type="dxa" w:w="100"/>
              <w:bottom w:type="dxa" w:w="80"/>
              <w:right w:type="dxa" w:w="100"/>
            </w:tcMar>
          </w:tcPr>
          <w:p>
            <w:pPr>
              <w:jc w:val="center"/>
            </w:pPr>
            <w:r>
              <w:rPr>
                <w:b w:val="false"/>
                <w:bCs w:val="false"/>
                <w:color w:val="20180F"/>
                <w:sz w:val="19"/>
                <w:szCs w:val="19"/>
              </w:rPr>
              <w:t xml:space="preserve">Only relevant if the “Sky Semi-D” landed-living angle is emphasized in copy.</w:t>
            </w:r>
          </w:p>
        </w:tc>
      </w:tr>
      <w:tr>
        <w:tc>
          <w:tcPr>
            <w:tcW w:type="dxa" w:w="1900"/>
            <w:shd w:fill="F5EFE3" w:color="auto" w:val="clear"/>
            <w:tcMar>
              <w:top w:type="dxa" w:w="80"/>
              <w:left w:type="dxa" w:w="100"/>
              <w:bottom w:type="dxa" w:w="80"/>
              <w:right w:type="dxa" w:w="100"/>
            </w:tcMar>
          </w:tcPr>
          <w:p>
            <w:pPr>
              <w:jc w:val="left"/>
            </w:pPr>
            <w:r>
              <w:rPr>
                <w:b w:val="false"/>
                <w:bCs w:val="false"/>
                <w:color w:val="20180F"/>
                <w:sz w:val="19"/>
                <w:szCs w:val="19"/>
              </w:rPr>
              <w:t xml:space="preserve">landed property for sale in pj</w:t>
            </w:r>
          </w:p>
        </w:tc>
        <w:tc>
          <w:tcPr>
            <w:tcW w:type="dxa" w:w="800"/>
            <w:shd w:fill="F5EFE3" w:color="auto" w:val="clear"/>
            <w:tcMar>
              <w:top w:type="dxa" w:w="80"/>
              <w:left w:type="dxa" w:w="100"/>
              <w:bottom w:type="dxa" w:w="80"/>
              <w:right w:type="dxa" w:w="100"/>
            </w:tcMar>
          </w:tcPr>
          <w:p>
            <w:pPr>
              <w:jc w:val="center"/>
            </w:pPr>
            <w:r>
              <w:rPr>
                <w:b w:val="false"/>
                <w:bCs w:val="false"/>
                <w:color w:val="20180F"/>
                <w:sz w:val="19"/>
                <w:szCs w:val="19"/>
              </w:rPr>
              <w:t xml:space="preserve">20</w:t>
            </w:r>
          </w:p>
        </w:tc>
        <w:tc>
          <w:tcPr>
            <w:tcW w:type="dxa" w:w="700"/>
            <w:shd w:fill="F5EFE3" w:color="auto" w:val="clear"/>
            <w:tcMar>
              <w:top w:type="dxa" w:w="80"/>
              <w:left w:type="dxa" w:w="100"/>
              <w:bottom w:type="dxa" w:w="80"/>
              <w:right w:type="dxa" w:w="100"/>
            </w:tcMar>
          </w:tcPr>
          <w:p>
            <w:pPr>
              <w:jc w:val="center"/>
            </w:pPr>
            <w:r>
              <w:rPr>
                <w:b w:val="false"/>
                <w:bCs w:val="false"/>
                <w:color w:val="20180F"/>
                <w:sz w:val="19"/>
                <w:szCs w:val="19"/>
              </w:rPr>
              <w:t xml:space="preserve">n/a</w:t>
            </w:r>
          </w:p>
        </w:tc>
        <w:tc>
          <w:tcPr>
            <w:tcW w:type="dxa" w:w="800"/>
            <w:shd w:fill="F5EFE3" w:color="auto" w:val="clear"/>
            <w:tcMar>
              <w:top w:type="dxa" w:w="80"/>
              <w:left w:type="dxa" w:w="100"/>
              <w:bottom w:type="dxa" w:w="80"/>
              <w:right w:type="dxa" w:w="100"/>
            </w:tcMar>
          </w:tcPr>
          <w:p>
            <w:pPr>
              <w:jc w:val="center"/>
            </w:pPr>
            <w:r>
              <w:rPr>
                <w:b w:val="false"/>
                <w:bCs w:val="false"/>
                <w:color w:val="20180F"/>
                <w:sz w:val="19"/>
                <w:szCs w:val="19"/>
              </w:rPr>
              <w:t xml:space="preserve">RM0.18</w:t>
            </w:r>
          </w:p>
        </w:tc>
        <w:tc>
          <w:tcPr>
            <w:tcW w:type="dxa" w:w="1000"/>
            <w:shd w:fill="F5EFE3" w:color="auto" w:val="clear"/>
            <w:tcMar>
              <w:top w:type="dxa" w:w="80"/>
              <w:left w:type="dxa" w:w="100"/>
              <w:bottom w:type="dxa" w:w="80"/>
              <w:right w:type="dxa" w:w="100"/>
            </w:tcMar>
          </w:tcPr>
          <w:p>
            <w:pPr>
              <w:jc w:val="center"/>
            </w:pPr>
            <w:r>
              <w:rPr>
                <w:b w:val="false"/>
                <w:bCs w:val="false"/>
                <w:color w:val="20180F"/>
                <w:sz w:val="19"/>
                <w:szCs w:val="19"/>
              </w:rPr>
              <w:t xml:space="preserve">n/a</w:t>
            </w:r>
          </w:p>
        </w:tc>
        <w:tc>
          <w:tcPr>
            <w:tcW w:type="dxa" w:w="3660"/>
            <w:shd w:fill="F5EFE3" w:color="auto" w:val="clear"/>
            <w:tcMar>
              <w:top w:type="dxa" w:w="80"/>
              <w:left w:type="dxa" w:w="100"/>
              <w:bottom w:type="dxa" w:w="80"/>
              <w:right w:type="dxa" w:w="100"/>
            </w:tcMar>
          </w:tcPr>
          <w:p>
            <w:pPr>
              <w:jc w:val="center"/>
            </w:pPr>
            <w:r>
              <w:rPr>
                <w:b w:val="false"/>
                <w:bCs w:val="false"/>
                <w:color w:val="20180F"/>
                <w:sz w:val="19"/>
                <w:szCs w:val="19"/>
              </w:rPr>
              <w:t xml:space="preserve">Same caveat — use only if landed-style positioning is leaned into.</w:t>
            </w:r>
          </w:p>
        </w:tc>
      </w:tr>
    </w:tbl>
    <w:p>
      <w:pPr>
        <w:spacing w:after="240"/>
      </w:pPr>
      <w:r>
        <w:rPr>
          <w:i/>
          <w:iCs/>
          <w:color w:val="6B6B6B"/>
          <w:sz w:val="19"/>
          <w:szCs w:val="19"/>
        </w:rPr>
        <w:t xml:space="preserve">Volume and KD are monthly Malaysia search volume and Semrush Keyword Difficulty at time of research; “n/a” means Semrush had not yet computed the metric for that term.</w:t>
      </w:r>
    </w:p>
    <w:p>
      <w:pPr>
        <w:pStyle w:val="Heading1"/>
        <w:spacing w:after="200" w:before="400"/>
      </w:pPr>
      <w:r>
        <w:rPr>
          <w:b/>
          <w:bCs/>
          <w:color w:val="20180F"/>
          <w:sz w:val="30"/>
          <w:szCs w:val="30"/>
        </w:rPr>
        <w:t xml:space="preserve">Tier 2 — Worth a new supporting page</w:t>
      </w:r>
    </w:p>
    <w:p>
      <w:pPr>
        <w:spacing w:after="200" w:line="300"/>
      </w:pPr>
      <w:r>
        <w:rPr>
          <w:color w:val="20180F"/>
          <w:sz w:val="21"/>
          <w:szCs w:val="21"/>
        </w:rPr>
        <w:t xml:space="preserve">These have real volume but are city-wide (Kuala Lumpur, not PJ-specific) or serve a different intent (finding an agent, not a listing). Trying to rank the homepage for these would dilute its PJ/private-lift focus. They’re better served by dedicated content: a short blog-style “new launches in KL &amp; PJ” roundup, and an agent bio page for Chloe Tan.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00"/>
        <w:gridCol w:w="700"/>
        <w:gridCol w:w="800"/>
        <w:gridCol w:w="1000"/>
        <w:gridCol w:w="3660"/>
      </w:tblGrid>
      <w:tr>
        <w:trPr>
          <w:tblHeader/>
        </w:trPr>
        <w:tc>
          <w:tcPr>
            <w:tcW w:type="dxa" w:w="1900"/>
            <w:shd w:fill="20180F" w:color="auto" w:val="clear"/>
            <w:tcMar>
              <w:top w:type="dxa" w:w="80"/>
              <w:left w:type="dxa" w:w="100"/>
              <w:bottom w:type="dxa" w:w="80"/>
              <w:right w:type="dxa" w:w="100"/>
            </w:tcMar>
          </w:tcPr>
          <w:p>
            <w:pPr>
              <w:jc w:val="left"/>
            </w:pPr>
            <w:r>
              <w:rPr>
                <w:b/>
                <w:bCs/>
                <w:color w:val="FFFFFF"/>
                <w:sz w:val="18"/>
                <w:szCs w:val="18"/>
              </w:rPr>
              <w:t xml:space="preserve">Keyword</w:t>
            </w:r>
          </w:p>
        </w:tc>
        <w:tc>
          <w:tcPr>
            <w:tcW w:type="dxa" w:w="800"/>
            <w:shd w:fill="20180F" w:color="auto" w:val="clear"/>
            <w:tcMar>
              <w:top w:type="dxa" w:w="80"/>
              <w:left w:type="dxa" w:w="100"/>
              <w:bottom w:type="dxa" w:w="80"/>
              <w:right w:type="dxa" w:w="100"/>
            </w:tcMar>
          </w:tcPr>
          <w:p>
            <w:pPr>
              <w:jc w:val="left"/>
            </w:pPr>
            <w:r>
              <w:rPr>
                <w:b/>
                <w:bCs/>
                <w:color w:val="FFFFFF"/>
                <w:sz w:val="18"/>
                <w:szCs w:val="18"/>
              </w:rPr>
              <w:t xml:space="preserve">Volume</w:t>
            </w:r>
          </w:p>
        </w:tc>
        <w:tc>
          <w:tcPr>
            <w:tcW w:type="dxa" w:w="700"/>
            <w:shd w:fill="20180F" w:color="auto" w:val="clear"/>
            <w:tcMar>
              <w:top w:type="dxa" w:w="80"/>
              <w:left w:type="dxa" w:w="100"/>
              <w:bottom w:type="dxa" w:w="80"/>
              <w:right w:type="dxa" w:w="100"/>
            </w:tcMar>
          </w:tcPr>
          <w:p>
            <w:pPr>
              <w:jc w:val="left"/>
            </w:pPr>
            <w:r>
              <w:rPr>
                <w:b/>
                <w:bCs/>
                <w:color w:val="FFFFFF"/>
                <w:sz w:val="18"/>
                <w:szCs w:val="18"/>
              </w:rPr>
              <w:t xml:space="preserve">KD %</w:t>
            </w:r>
          </w:p>
        </w:tc>
        <w:tc>
          <w:tcPr>
            <w:tcW w:type="dxa" w:w="800"/>
            <w:shd w:fill="20180F" w:color="auto" w:val="clear"/>
            <w:tcMar>
              <w:top w:type="dxa" w:w="80"/>
              <w:left w:type="dxa" w:w="100"/>
              <w:bottom w:type="dxa" w:w="80"/>
              <w:right w:type="dxa" w:w="100"/>
            </w:tcMar>
          </w:tcPr>
          <w:p>
            <w:pPr>
              <w:jc w:val="left"/>
            </w:pPr>
            <w:r>
              <w:rPr>
                <w:b/>
                <w:bCs/>
                <w:color w:val="FFFFFF"/>
                <w:sz w:val="18"/>
                <w:szCs w:val="18"/>
              </w:rPr>
              <w:t xml:space="preserve">CPC</w:t>
            </w:r>
          </w:p>
        </w:tc>
        <w:tc>
          <w:tcPr>
            <w:tcW w:type="dxa" w:w="1000"/>
            <w:shd w:fill="20180F" w:color="auto" w:val="clear"/>
            <w:tcMar>
              <w:top w:type="dxa" w:w="80"/>
              <w:left w:type="dxa" w:w="100"/>
              <w:bottom w:type="dxa" w:w="80"/>
              <w:right w:type="dxa" w:w="100"/>
            </w:tcMar>
          </w:tcPr>
          <w:p>
            <w:pPr>
              <w:jc w:val="left"/>
            </w:pPr>
            <w:r>
              <w:rPr>
                <w:b/>
                <w:bCs/>
                <w:color w:val="FFFFFF"/>
                <w:sz w:val="18"/>
                <w:szCs w:val="18"/>
              </w:rPr>
              <w:t xml:space="preserve">Intent</w:t>
            </w:r>
          </w:p>
        </w:tc>
        <w:tc>
          <w:tcPr>
            <w:tcW w:type="dxa" w:w="3660"/>
            <w:shd w:fill="20180F" w:color="auto" w:val="clear"/>
            <w:tcMar>
              <w:top w:type="dxa" w:w="80"/>
              <w:left w:type="dxa" w:w="100"/>
              <w:bottom w:type="dxa" w:w="80"/>
              <w:right w:type="dxa" w:w="100"/>
            </w:tcMar>
          </w:tcPr>
          <w:p>
            <w:pPr>
              <w:jc w:val="left"/>
            </w:pPr>
            <w:r>
              <w:rPr>
                <w:b/>
                <w:bCs/>
                <w:color w:val="FFFFFF"/>
                <w:sz w:val="18"/>
                <w:szCs w:val="18"/>
              </w:rPr>
              <w:t xml:space="preserve">Best home for it</w:t>
            </w:r>
          </w:p>
        </w:tc>
      </w:tr>
      <w:tr>
        <w:tc>
          <w:tcPr>
            <w:tcW w:type="dxa" w:w="1900"/>
            <w:tcMar>
              <w:top w:type="dxa" w:w="80"/>
              <w:left w:type="dxa" w:w="100"/>
              <w:bottom w:type="dxa" w:w="80"/>
              <w:right w:type="dxa" w:w="100"/>
            </w:tcMar>
          </w:tcPr>
          <w:p>
            <w:pPr>
              <w:jc w:val="left"/>
            </w:pPr>
            <w:r>
              <w:rPr>
                <w:b w:val="false"/>
                <w:bCs w:val="false"/>
                <w:color w:val="20180F"/>
                <w:sz w:val="19"/>
                <w:szCs w:val="19"/>
              </w:rPr>
              <w:t xml:space="preserve">kl property for sale</w:t>
            </w:r>
          </w:p>
        </w:tc>
        <w:tc>
          <w:tcPr>
            <w:tcW w:type="dxa" w:w="800"/>
            <w:tcMar>
              <w:top w:type="dxa" w:w="80"/>
              <w:left w:type="dxa" w:w="100"/>
              <w:bottom w:type="dxa" w:w="80"/>
              <w:right w:type="dxa" w:w="100"/>
            </w:tcMar>
          </w:tcPr>
          <w:p>
            <w:pPr>
              <w:jc w:val="center"/>
            </w:pPr>
            <w:r>
              <w:rPr>
                <w:b w:val="false"/>
                <w:bCs w:val="false"/>
                <w:color w:val="20180F"/>
                <w:sz w:val="19"/>
                <w:szCs w:val="19"/>
              </w:rPr>
              <w:t xml:space="preserve">2,900</w:t>
            </w:r>
          </w:p>
        </w:tc>
        <w:tc>
          <w:tcPr>
            <w:tcW w:type="dxa" w:w="700"/>
            <w:tcMar>
              <w:top w:type="dxa" w:w="80"/>
              <w:left w:type="dxa" w:w="100"/>
              <w:bottom w:type="dxa" w:w="80"/>
              <w:right w:type="dxa" w:w="100"/>
            </w:tcMar>
          </w:tcPr>
          <w:p>
            <w:pPr>
              <w:jc w:val="center"/>
            </w:pPr>
            <w:r>
              <w:rPr>
                <w:b w:val="false"/>
                <w:bCs w:val="false"/>
                <w:color w:val="20180F"/>
                <w:sz w:val="19"/>
                <w:szCs w:val="19"/>
              </w:rPr>
              <w:t xml:space="preserve">32%</w:t>
            </w:r>
          </w:p>
        </w:tc>
        <w:tc>
          <w:tcPr>
            <w:tcW w:type="dxa" w:w="800"/>
            <w:tcMar>
              <w:top w:type="dxa" w:w="80"/>
              <w:left w:type="dxa" w:w="100"/>
              <w:bottom w:type="dxa" w:w="80"/>
              <w:right w:type="dxa" w:w="100"/>
            </w:tcMar>
          </w:tcPr>
          <w:p>
            <w:pPr>
              <w:jc w:val="center"/>
            </w:pPr>
            <w:r>
              <w:rPr>
                <w:b w:val="false"/>
                <w:bCs w:val="false"/>
                <w:color w:val="20180F"/>
                <w:sz w:val="19"/>
                <w:szCs w:val="19"/>
              </w:rPr>
              <w:t xml:space="preserve">RM0.53</w:t>
            </w:r>
          </w:p>
        </w:tc>
        <w:tc>
          <w:tcPr>
            <w:tcW w:type="dxa" w:w="1000"/>
            <w:tcMar>
              <w:top w:type="dxa" w:w="80"/>
              <w:left w:type="dxa" w:w="100"/>
              <w:bottom w:type="dxa" w:w="80"/>
              <w:right w:type="dxa" w:w="100"/>
            </w:tcMar>
          </w:tcPr>
          <w:p>
            <w:pPr>
              <w:jc w:val="center"/>
            </w:pPr>
            <w:r>
              <w:rPr>
                <w:b w:val="false"/>
                <w:bCs w:val="false"/>
                <w:color w:val="20180F"/>
                <w:sz w:val="19"/>
                <w:szCs w:val="19"/>
              </w:rPr>
              <w:t xml:space="preserve">Comm.</w:t>
            </w:r>
          </w:p>
        </w:tc>
        <w:tc>
          <w:tcPr>
            <w:tcW w:type="dxa" w:w="3660"/>
            <w:tcMar>
              <w:top w:type="dxa" w:w="80"/>
              <w:left w:type="dxa" w:w="100"/>
              <w:bottom w:type="dxa" w:w="80"/>
              <w:right w:type="dxa" w:w="100"/>
            </w:tcMar>
          </w:tcPr>
          <w:p>
            <w:pPr>
              <w:jc w:val="center"/>
            </w:pPr>
            <w:r>
              <w:rPr>
                <w:b w:val="false"/>
                <w:bCs w:val="false"/>
                <w:color w:val="20180F"/>
                <w:sz w:val="19"/>
                <w:szCs w:val="19"/>
              </w:rPr>
              <w:t xml:space="preserve">New “KL &amp; PJ new launches” roundup or blog content — too broad for the homepage alone.</w:t>
            </w:r>
          </w:p>
        </w:tc>
      </w:tr>
      <w:tr>
        <w:tc>
          <w:tcPr>
            <w:tcW w:type="dxa" w:w="1900"/>
            <w:shd w:fill="F5EFE3" w:color="auto" w:val="clear"/>
            <w:tcMar>
              <w:top w:type="dxa" w:w="80"/>
              <w:left w:type="dxa" w:w="100"/>
              <w:bottom w:type="dxa" w:w="80"/>
              <w:right w:type="dxa" w:w="100"/>
            </w:tcMar>
          </w:tcPr>
          <w:p>
            <w:pPr>
              <w:jc w:val="left"/>
            </w:pPr>
            <w:r>
              <w:rPr>
                <w:b w:val="false"/>
                <w:bCs w:val="false"/>
                <w:color w:val="20180F"/>
                <w:sz w:val="19"/>
                <w:szCs w:val="19"/>
              </w:rPr>
              <w:t xml:space="preserve">kl property agent</w:t>
            </w:r>
          </w:p>
        </w:tc>
        <w:tc>
          <w:tcPr>
            <w:tcW w:type="dxa" w:w="800"/>
            <w:shd w:fill="F5EFE3" w:color="auto" w:val="clear"/>
            <w:tcMar>
              <w:top w:type="dxa" w:w="80"/>
              <w:left w:type="dxa" w:w="100"/>
              <w:bottom w:type="dxa" w:w="80"/>
              <w:right w:type="dxa" w:w="100"/>
            </w:tcMar>
          </w:tcPr>
          <w:p>
            <w:pPr>
              <w:jc w:val="center"/>
            </w:pPr>
            <w:r>
              <w:rPr>
                <w:b w:val="false"/>
                <w:bCs w:val="false"/>
                <w:color w:val="20180F"/>
                <w:sz w:val="19"/>
                <w:szCs w:val="19"/>
              </w:rPr>
              <w:t xml:space="preserve">210</w:t>
            </w:r>
          </w:p>
        </w:tc>
        <w:tc>
          <w:tcPr>
            <w:tcW w:type="dxa" w:w="700"/>
            <w:shd w:fill="F5EFE3" w:color="auto" w:val="clear"/>
            <w:tcMar>
              <w:top w:type="dxa" w:w="80"/>
              <w:left w:type="dxa" w:w="100"/>
              <w:bottom w:type="dxa" w:w="80"/>
              <w:right w:type="dxa" w:w="100"/>
            </w:tcMar>
          </w:tcPr>
          <w:p>
            <w:pPr>
              <w:jc w:val="center"/>
            </w:pPr>
            <w:r>
              <w:rPr>
                <w:b w:val="false"/>
                <w:bCs w:val="false"/>
                <w:color w:val="20180F"/>
                <w:sz w:val="19"/>
                <w:szCs w:val="19"/>
              </w:rPr>
              <w:t xml:space="preserve">43%</w:t>
            </w:r>
          </w:p>
        </w:tc>
        <w:tc>
          <w:tcPr>
            <w:tcW w:type="dxa" w:w="800"/>
            <w:shd w:fill="F5EFE3" w:color="auto" w:val="clear"/>
            <w:tcMar>
              <w:top w:type="dxa" w:w="80"/>
              <w:left w:type="dxa" w:w="100"/>
              <w:bottom w:type="dxa" w:w="80"/>
              <w:right w:type="dxa" w:w="100"/>
            </w:tcMar>
          </w:tcPr>
          <w:p>
            <w:pPr>
              <w:jc w:val="center"/>
            </w:pPr>
            <w:r>
              <w:rPr>
                <w:b w:val="false"/>
                <w:bCs w:val="false"/>
                <w:color w:val="20180F"/>
                <w:sz w:val="19"/>
                <w:szCs w:val="19"/>
              </w:rPr>
              <w:t xml:space="preserve">RM0.60</w:t>
            </w:r>
          </w:p>
        </w:tc>
        <w:tc>
          <w:tcPr>
            <w:tcW w:type="dxa" w:w="1000"/>
            <w:shd w:fill="F5EFE3" w:color="auto" w:val="clear"/>
            <w:tcMar>
              <w:top w:type="dxa" w:w="80"/>
              <w:left w:type="dxa" w:w="100"/>
              <w:bottom w:type="dxa" w:w="80"/>
              <w:right w:type="dxa" w:w="100"/>
            </w:tcMar>
          </w:tcPr>
          <w:p>
            <w:pPr>
              <w:jc w:val="center"/>
            </w:pPr>
            <w:r>
              <w:rPr>
                <w:b w:val="false"/>
                <w:bCs w:val="false"/>
                <w:color w:val="20180F"/>
                <w:sz w:val="19"/>
                <w:szCs w:val="19"/>
              </w:rPr>
              <w:t xml:space="preserve">Trans.</w:t>
            </w:r>
          </w:p>
        </w:tc>
        <w:tc>
          <w:tcPr>
            <w:tcW w:type="dxa" w:w="3660"/>
            <w:shd w:fill="F5EFE3" w:color="auto" w:val="clear"/>
            <w:tcMar>
              <w:top w:type="dxa" w:w="80"/>
              <w:left w:type="dxa" w:w="100"/>
              <w:bottom w:type="dxa" w:w="80"/>
              <w:right w:type="dxa" w:w="100"/>
            </w:tcMar>
          </w:tcPr>
          <w:p>
            <w:pPr>
              <w:jc w:val="center"/>
            </w:pPr>
            <w:r>
              <w:rPr>
                <w:b w:val="false"/>
                <w:bCs w:val="false"/>
                <w:color w:val="20180F"/>
                <w:sz w:val="19"/>
                <w:szCs w:val="19"/>
              </w:rPr>
              <w:t xml:space="preserve">An “About Chloe Tan” / agent bio page, paired with a Google Business Profile.</w:t>
            </w:r>
          </w:p>
        </w:tc>
      </w:tr>
      <w:tr>
        <w:tc>
          <w:tcPr>
            <w:tcW w:type="dxa" w:w="1900"/>
            <w:tcMar>
              <w:top w:type="dxa" w:w="80"/>
              <w:left w:type="dxa" w:w="100"/>
              <w:bottom w:type="dxa" w:w="80"/>
              <w:right w:type="dxa" w:w="100"/>
            </w:tcMar>
          </w:tcPr>
          <w:p>
            <w:pPr>
              <w:jc w:val="left"/>
            </w:pPr>
            <w:r>
              <w:rPr>
                <w:b w:val="false"/>
                <w:bCs w:val="false"/>
                <w:color w:val="20180F"/>
                <w:sz w:val="19"/>
                <w:szCs w:val="19"/>
              </w:rPr>
              <w:t xml:space="preserve">new launch property in kl</w:t>
            </w:r>
          </w:p>
        </w:tc>
        <w:tc>
          <w:tcPr>
            <w:tcW w:type="dxa" w:w="800"/>
            <w:tcMar>
              <w:top w:type="dxa" w:w="80"/>
              <w:left w:type="dxa" w:w="100"/>
              <w:bottom w:type="dxa" w:w="80"/>
              <w:right w:type="dxa" w:w="100"/>
            </w:tcMar>
          </w:tcPr>
          <w:p>
            <w:pPr>
              <w:jc w:val="center"/>
            </w:pPr>
            <w:r>
              <w:rPr>
                <w:b w:val="false"/>
                <w:bCs w:val="false"/>
                <w:color w:val="20180F"/>
                <w:sz w:val="19"/>
                <w:szCs w:val="19"/>
              </w:rPr>
              <w:t xml:space="preserve">170</w:t>
            </w:r>
          </w:p>
        </w:tc>
        <w:tc>
          <w:tcPr>
            <w:tcW w:type="dxa" w:w="700"/>
            <w:tcMar>
              <w:top w:type="dxa" w:w="80"/>
              <w:left w:type="dxa" w:w="100"/>
              <w:bottom w:type="dxa" w:w="80"/>
              <w:right w:type="dxa" w:w="100"/>
            </w:tcMar>
          </w:tcPr>
          <w:p>
            <w:pPr>
              <w:jc w:val="center"/>
            </w:pPr>
            <w:r>
              <w:rPr>
                <w:b w:val="false"/>
                <w:bCs w:val="false"/>
                <w:color w:val="20180F"/>
                <w:sz w:val="19"/>
                <w:szCs w:val="19"/>
              </w:rPr>
              <w:t xml:space="preserve">36%</w:t>
            </w:r>
          </w:p>
        </w:tc>
        <w:tc>
          <w:tcPr>
            <w:tcW w:type="dxa" w:w="800"/>
            <w:tcMar>
              <w:top w:type="dxa" w:w="80"/>
              <w:left w:type="dxa" w:w="100"/>
              <w:bottom w:type="dxa" w:w="80"/>
              <w:right w:type="dxa" w:w="100"/>
            </w:tcMar>
          </w:tcPr>
          <w:p>
            <w:pPr>
              <w:jc w:val="center"/>
            </w:pPr>
            <w:r>
              <w:rPr>
                <w:b w:val="false"/>
                <w:bCs w:val="false"/>
                <w:color w:val="20180F"/>
                <w:sz w:val="19"/>
                <w:szCs w:val="19"/>
              </w:rPr>
              <w:t xml:space="preserve">RM0.64</w:t>
            </w:r>
          </w:p>
        </w:tc>
        <w:tc>
          <w:tcPr>
            <w:tcW w:type="dxa" w:w="1000"/>
            <w:tcMar>
              <w:top w:type="dxa" w:w="80"/>
              <w:left w:type="dxa" w:w="100"/>
              <w:bottom w:type="dxa" w:w="80"/>
              <w:right w:type="dxa" w:w="100"/>
            </w:tcMar>
          </w:tcPr>
          <w:p>
            <w:pPr>
              <w:jc w:val="center"/>
            </w:pPr>
            <w:r>
              <w:rPr>
                <w:b w:val="false"/>
                <w:bCs w:val="false"/>
                <w:color w:val="20180F"/>
                <w:sz w:val="19"/>
                <w:szCs w:val="19"/>
              </w:rPr>
              <w:t xml:space="preserve">Comm.</w:t>
            </w:r>
          </w:p>
        </w:tc>
        <w:tc>
          <w:tcPr>
            <w:tcW w:type="dxa" w:w="3660"/>
            <w:tcMar>
              <w:top w:type="dxa" w:w="80"/>
              <w:left w:type="dxa" w:w="100"/>
              <w:bottom w:type="dxa" w:w="80"/>
              <w:right w:type="dxa" w:w="100"/>
            </w:tcMar>
          </w:tcPr>
          <w:p>
            <w:pPr>
              <w:jc w:val="center"/>
            </w:pPr>
            <w:r>
              <w:rPr>
                <w:b w:val="false"/>
                <w:bCs w:val="false"/>
                <w:color w:val="20180F"/>
                <w:sz w:val="19"/>
                <w:szCs w:val="19"/>
              </w:rPr>
              <w:t xml:space="preserve">Same roundup/blog content as above.</w:t>
            </w:r>
          </w:p>
        </w:tc>
      </w:tr>
      <w:tr>
        <w:tc>
          <w:tcPr>
            <w:tcW w:type="dxa" w:w="1900"/>
            <w:shd w:fill="F5EFE3" w:color="auto" w:val="clear"/>
            <w:tcMar>
              <w:top w:type="dxa" w:w="80"/>
              <w:left w:type="dxa" w:w="100"/>
              <w:bottom w:type="dxa" w:w="80"/>
              <w:right w:type="dxa" w:w="100"/>
            </w:tcMar>
          </w:tcPr>
          <w:p>
            <w:pPr>
              <w:jc w:val="left"/>
            </w:pPr>
            <w:r>
              <w:rPr>
                <w:b w:val="false"/>
                <w:bCs w:val="false"/>
                <w:color w:val="20180F"/>
                <w:sz w:val="19"/>
                <w:szCs w:val="19"/>
              </w:rPr>
              <w:t xml:space="preserve">landed property in kl</w:t>
            </w:r>
          </w:p>
        </w:tc>
        <w:tc>
          <w:tcPr>
            <w:tcW w:type="dxa" w:w="800"/>
            <w:shd w:fill="F5EFE3" w:color="auto" w:val="clear"/>
            <w:tcMar>
              <w:top w:type="dxa" w:w="80"/>
              <w:left w:type="dxa" w:w="100"/>
              <w:bottom w:type="dxa" w:w="80"/>
              <w:right w:type="dxa" w:w="100"/>
            </w:tcMar>
          </w:tcPr>
          <w:p>
            <w:pPr>
              <w:jc w:val="center"/>
            </w:pPr>
            <w:r>
              <w:rPr>
                <w:b w:val="false"/>
                <w:bCs w:val="false"/>
                <w:color w:val="20180F"/>
                <w:sz w:val="19"/>
                <w:szCs w:val="19"/>
              </w:rPr>
              <w:t xml:space="preserve">210</w:t>
            </w:r>
          </w:p>
        </w:tc>
        <w:tc>
          <w:tcPr>
            <w:tcW w:type="dxa" w:w="700"/>
            <w:shd w:fill="F5EFE3" w:color="auto" w:val="clear"/>
            <w:tcMar>
              <w:top w:type="dxa" w:w="80"/>
              <w:left w:type="dxa" w:w="100"/>
              <w:bottom w:type="dxa" w:w="80"/>
              <w:right w:type="dxa" w:w="100"/>
            </w:tcMar>
          </w:tcPr>
          <w:p>
            <w:pPr>
              <w:jc w:val="center"/>
            </w:pPr>
            <w:r>
              <w:rPr>
                <w:b w:val="false"/>
                <w:bCs w:val="false"/>
                <w:color w:val="20180F"/>
                <w:sz w:val="19"/>
                <w:szCs w:val="19"/>
              </w:rPr>
              <w:t xml:space="preserve">16%</w:t>
            </w:r>
          </w:p>
        </w:tc>
        <w:tc>
          <w:tcPr>
            <w:tcW w:type="dxa" w:w="800"/>
            <w:shd w:fill="F5EFE3" w:color="auto" w:val="clear"/>
            <w:tcMar>
              <w:top w:type="dxa" w:w="80"/>
              <w:left w:type="dxa" w:w="100"/>
              <w:bottom w:type="dxa" w:w="80"/>
              <w:right w:type="dxa" w:w="100"/>
            </w:tcMar>
          </w:tcPr>
          <w:p>
            <w:pPr>
              <w:jc w:val="center"/>
            </w:pPr>
            <w:r>
              <w:rPr>
                <w:b w:val="false"/>
                <w:bCs w:val="false"/>
                <w:color w:val="20180F"/>
                <w:sz w:val="19"/>
                <w:szCs w:val="19"/>
              </w:rPr>
              <w:t xml:space="preserve">RM0.34</w:t>
            </w:r>
          </w:p>
        </w:tc>
        <w:tc>
          <w:tcPr>
            <w:tcW w:type="dxa" w:w="1000"/>
            <w:shd w:fill="F5EFE3" w:color="auto" w:val="clear"/>
            <w:tcMar>
              <w:top w:type="dxa" w:w="80"/>
              <w:left w:type="dxa" w:w="100"/>
              <w:bottom w:type="dxa" w:w="80"/>
              <w:right w:type="dxa" w:w="100"/>
            </w:tcMar>
          </w:tcPr>
          <w:p>
            <w:pPr>
              <w:jc w:val="center"/>
            </w:pPr>
            <w:r>
              <w:rPr>
                <w:b w:val="false"/>
                <w:bCs w:val="false"/>
                <w:color w:val="20180F"/>
                <w:sz w:val="19"/>
                <w:szCs w:val="19"/>
              </w:rPr>
              <w:t xml:space="preserve">Info.</w:t>
            </w:r>
          </w:p>
        </w:tc>
        <w:tc>
          <w:tcPr>
            <w:tcW w:type="dxa" w:w="3660"/>
            <w:shd w:fill="F5EFE3" w:color="auto" w:val="clear"/>
            <w:tcMar>
              <w:top w:type="dxa" w:w="80"/>
              <w:left w:type="dxa" w:w="100"/>
              <w:bottom w:type="dxa" w:w="80"/>
              <w:right w:type="dxa" w:w="100"/>
            </w:tcMar>
          </w:tcPr>
          <w:p>
            <w:pPr>
              <w:jc w:val="center"/>
            </w:pPr>
            <w:r>
              <w:rPr>
                <w:b w:val="false"/>
                <w:bCs w:val="false"/>
                <w:color w:val="20180F"/>
                <w:sz w:val="19"/>
                <w:szCs w:val="19"/>
              </w:rPr>
              <w:t xml:space="preserve">Low difficulty but city-wide — supporting blog content only.</w:t>
            </w:r>
          </w:p>
        </w:tc>
      </w:tr>
      <w:tr>
        <w:tc>
          <w:tcPr>
            <w:tcW w:type="dxa" w:w="1900"/>
            <w:tcMar>
              <w:top w:type="dxa" w:w="80"/>
              <w:left w:type="dxa" w:w="100"/>
              <w:bottom w:type="dxa" w:w="80"/>
              <w:right w:type="dxa" w:w="100"/>
            </w:tcMar>
          </w:tcPr>
          <w:p>
            <w:pPr>
              <w:jc w:val="left"/>
            </w:pPr>
            <w:r>
              <w:rPr>
                <w:b w:val="false"/>
                <w:bCs w:val="false"/>
                <w:color w:val="20180F"/>
                <w:sz w:val="19"/>
                <w:szCs w:val="19"/>
              </w:rPr>
              <w:t xml:space="preserve">new property in kl</w:t>
            </w:r>
          </w:p>
        </w:tc>
        <w:tc>
          <w:tcPr>
            <w:tcW w:type="dxa" w:w="800"/>
            <w:tcMar>
              <w:top w:type="dxa" w:w="80"/>
              <w:left w:type="dxa" w:w="100"/>
              <w:bottom w:type="dxa" w:w="80"/>
              <w:right w:type="dxa" w:w="100"/>
            </w:tcMar>
          </w:tcPr>
          <w:p>
            <w:pPr>
              <w:jc w:val="center"/>
            </w:pPr>
            <w:r>
              <w:rPr>
                <w:b w:val="false"/>
                <w:bCs w:val="false"/>
                <w:color w:val="20180F"/>
                <w:sz w:val="19"/>
                <w:szCs w:val="19"/>
              </w:rPr>
              <w:t xml:space="preserve">170</w:t>
            </w:r>
          </w:p>
        </w:tc>
        <w:tc>
          <w:tcPr>
            <w:tcW w:type="dxa" w:w="700"/>
            <w:tcMar>
              <w:top w:type="dxa" w:w="80"/>
              <w:left w:type="dxa" w:w="100"/>
              <w:bottom w:type="dxa" w:w="80"/>
              <w:right w:type="dxa" w:w="100"/>
            </w:tcMar>
          </w:tcPr>
          <w:p>
            <w:pPr>
              <w:jc w:val="center"/>
            </w:pPr>
            <w:r>
              <w:rPr>
                <w:b w:val="false"/>
                <w:bCs w:val="false"/>
                <w:color w:val="20180F"/>
                <w:sz w:val="19"/>
                <w:szCs w:val="19"/>
              </w:rPr>
              <w:t xml:space="preserve">28%</w:t>
            </w:r>
          </w:p>
        </w:tc>
        <w:tc>
          <w:tcPr>
            <w:tcW w:type="dxa" w:w="800"/>
            <w:tcMar>
              <w:top w:type="dxa" w:w="80"/>
              <w:left w:type="dxa" w:w="100"/>
              <w:bottom w:type="dxa" w:w="80"/>
              <w:right w:type="dxa" w:w="100"/>
            </w:tcMar>
          </w:tcPr>
          <w:p>
            <w:pPr>
              <w:jc w:val="center"/>
            </w:pPr>
            <w:r>
              <w:rPr>
                <w:b w:val="false"/>
                <w:bCs w:val="false"/>
                <w:color w:val="20180F"/>
                <w:sz w:val="19"/>
                <w:szCs w:val="19"/>
              </w:rPr>
              <w:t xml:space="preserve">RM0.68</w:t>
            </w:r>
          </w:p>
        </w:tc>
        <w:tc>
          <w:tcPr>
            <w:tcW w:type="dxa" w:w="1000"/>
            <w:tcMar>
              <w:top w:type="dxa" w:w="80"/>
              <w:left w:type="dxa" w:w="100"/>
              <w:bottom w:type="dxa" w:w="80"/>
              <w:right w:type="dxa" w:w="100"/>
            </w:tcMar>
          </w:tcPr>
          <w:p>
            <w:pPr>
              <w:jc w:val="center"/>
            </w:pPr>
            <w:r>
              <w:rPr>
                <w:b w:val="false"/>
                <w:bCs w:val="false"/>
                <w:color w:val="20180F"/>
                <w:sz w:val="19"/>
                <w:szCs w:val="19"/>
              </w:rPr>
              <w:t xml:space="preserve">Info.</w:t>
            </w:r>
          </w:p>
        </w:tc>
        <w:tc>
          <w:tcPr>
            <w:tcW w:type="dxa" w:w="3660"/>
            <w:tcMar>
              <w:top w:type="dxa" w:w="80"/>
              <w:left w:type="dxa" w:w="100"/>
              <w:bottom w:type="dxa" w:w="80"/>
              <w:right w:type="dxa" w:w="100"/>
            </w:tcMar>
          </w:tcPr>
          <w:p>
            <w:pPr>
              <w:jc w:val="center"/>
            </w:pPr>
            <w:r>
              <w:rPr>
                <w:b w:val="false"/>
                <w:bCs w:val="false"/>
                <w:color w:val="20180F"/>
                <w:sz w:val="19"/>
                <w:szCs w:val="19"/>
              </w:rPr>
              <w:t xml:space="preserve">Supporting blog content.</w:t>
            </w:r>
          </w:p>
        </w:tc>
      </w:tr>
      <w:tr>
        <w:tc>
          <w:tcPr>
            <w:tcW w:type="dxa" w:w="1900"/>
            <w:shd w:fill="F5EFE3" w:color="auto" w:val="clear"/>
            <w:tcMar>
              <w:top w:type="dxa" w:w="80"/>
              <w:left w:type="dxa" w:w="100"/>
              <w:bottom w:type="dxa" w:w="80"/>
              <w:right w:type="dxa" w:w="100"/>
            </w:tcMar>
          </w:tcPr>
          <w:p>
            <w:pPr>
              <w:jc w:val="left"/>
            </w:pPr>
            <w:r>
              <w:rPr>
                <w:b w:val="false"/>
                <w:bCs w:val="false"/>
                <w:color w:val="20180F"/>
                <w:sz w:val="19"/>
                <w:szCs w:val="19"/>
              </w:rPr>
              <w:t xml:space="preserve">kl property</w:t>
            </w:r>
          </w:p>
        </w:tc>
        <w:tc>
          <w:tcPr>
            <w:tcW w:type="dxa" w:w="800"/>
            <w:shd w:fill="F5EFE3" w:color="auto" w:val="clear"/>
            <w:tcMar>
              <w:top w:type="dxa" w:w="80"/>
              <w:left w:type="dxa" w:w="100"/>
              <w:bottom w:type="dxa" w:w="80"/>
              <w:right w:type="dxa" w:w="100"/>
            </w:tcMar>
          </w:tcPr>
          <w:p>
            <w:pPr>
              <w:jc w:val="center"/>
            </w:pPr>
            <w:r>
              <w:rPr>
                <w:b w:val="false"/>
                <w:bCs w:val="false"/>
                <w:color w:val="20180F"/>
                <w:sz w:val="19"/>
                <w:szCs w:val="19"/>
              </w:rPr>
              <w:t xml:space="preserve">320</w:t>
            </w:r>
          </w:p>
        </w:tc>
        <w:tc>
          <w:tcPr>
            <w:tcW w:type="dxa" w:w="700"/>
            <w:shd w:fill="F5EFE3" w:color="auto" w:val="clear"/>
            <w:tcMar>
              <w:top w:type="dxa" w:w="80"/>
              <w:left w:type="dxa" w:w="100"/>
              <w:bottom w:type="dxa" w:w="80"/>
              <w:right w:type="dxa" w:w="100"/>
            </w:tcMar>
          </w:tcPr>
          <w:p>
            <w:pPr>
              <w:jc w:val="center"/>
            </w:pPr>
            <w:r>
              <w:rPr>
                <w:b w:val="false"/>
                <w:bCs w:val="false"/>
                <w:color w:val="20180F"/>
                <w:sz w:val="19"/>
                <w:szCs w:val="19"/>
              </w:rPr>
              <w:t xml:space="preserve">42%</w:t>
            </w:r>
          </w:p>
        </w:tc>
        <w:tc>
          <w:tcPr>
            <w:tcW w:type="dxa" w:w="800"/>
            <w:shd w:fill="F5EFE3" w:color="auto" w:val="clear"/>
            <w:tcMar>
              <w:top w:type="dxa" w:w="80"/>
              <w:left w:type="dxa" w:w="100"/>
              <w:bottom w:type="dxa" w:w="80"/>
              <w:right w:type="dxa" w:w="100"/>
            </w:tcMar>
          </w:tcPr>
          <w:p>
            <w:pPr>
              <w:jc w:val="center"/>
            </w:pPr>
            <w:r>
              <w:rPr>
                <w:b w:val="false"/>
                <w:bCs w:val="false"/>
                <w:color w:val="20180F"/>
                <w:sz w:val="19"/>
                <w:szCs w:val="19"/>
              </w:rPr>
              <w:t xml:space="preserve">RM0.63</w:t>
            </w:r>
          </w:p>
        </w:tc>
        <w:tc>
          <w:tcPr>
            <w:tcW w:type="dxa" w:w="1000"/>
            <w:shd w:fill="F5EFE3" w:color="auto" w:val="clear"/>
            <w:tcMar>
              <w:top w:type="dxa" w:w="80"/>
              <w:left w:type="dxa" w:w="100"/>
              <w:bottom w:type="dxa" w:w="80"/>
              <w:right w:type="dxa" w:w="100"/>
            </w:tcMar>
          </w:tcPr>
          <w:p>
            <w:pPr>
              <w:jc w:val="center"/>
            </w:pPr>
            <w:r>
              <w:rPr>
                <w:b w:val="false"/>
                <w:bCs w:val="false"/>
                <w:color w:val="20180F"/>
                <w:sz w:val="19"/>
                <w:szCs w:val="19"/>
              </w:rPr>
              <w:t xml:space="preserve">Info.</w:t>
            </w:r>
          </w:p>
        </w:tc>
        <w:tc>
          <w:tcPr>
            <w:tcW w:type="dxa" w:w="3660"/>
            <w:shd w:fill="F5EFE3" w:color="auto" w:val="clear"/>
            <w:tcMar>
              <w:top w:type="dxa" w:w="80"/>
              <w:left w:type="dxa" w:w="100"/>
              <w:bottom w:type="dxa" w:w="80"/>
              <w:right w:type="dxa" w:w="100"/>
            </w:tcMar>
          </w:tcPr>
          <w:p>
            <w:pPr>
              <w:jc w:val="center"/>
            </w:pPr>
            <w:r>
              <w:rPr>
                <w:b w:val="false"/>
                <w:bCs w:val="false"/>
                <w:color w:val="20180F"/>
                <w:sz w:val="19"/>
                <w:szCs w:val="19"/>
              </w:rPr>
              <w:t xml:space="preserve">High difficulty for a microsite — long-term content play only.</w:t>
            </w:r>
          </w:p>
        </w:tc>
      </w:tr>
      <w:tr>
        <w:tc>
          <w:tcPr>
            <w:tcW w:type="dxa" w:w="1900"/>
            <w:tcMar>
              <w:top w:type="dxa" w:w="80"/>
              <w:left w:type="dxa" w:w="100"/>
              <w:bottom w:type="dxa" w:w="80"/>
              <w:right w:type="dxa" w:w="100"/>
            </w:tcMar>
          </w:tcPr>
          <w:p>
            <w:pPr>
              <w:jc w:val="left"/>
            </w:pPr>
            <w:r>
              <w:rPr>
                <w:b w:val="false"/>
                <w:bCs w:val="false"/>
                <w:color w:val="20180F"/>
                <w:sz w:val="19"/>
                <w:szCs w:val="19"/>
              </w:rPr>
              <w:t xml:space="preserve">kl property project</w:t>
            </w:r>
          </w:p>
        </w:tc>
        <w:tc>
          <w:tcPr>
            <w:tcW w:type="dxa" w:w="800"/>
            <w:tcMar>
              <w:top w:type="dxa" w:w="80"/>
              <w:left w:type="dxa" w:w="100"/>
              <w:bottom w:type="dxa" w:w="80"/>
              <w:right w:type="dxa" w:w="100"/>
            </w:tcMar>
          </w:tcPr>
          <w:p>
            <w:pPr>
              <w:jc w:val="center"/>
            </w:pPr>
            <w:r>
              <w:rPr>
                <w:b w:val="false"/>
                <w:bCs w:val="false"/>
                <w:color w:val="20180F"/>
                <w:sz w:val="19"/>
                <w:szCs w:val="19"/>
              </w:rPr>
              <w:t xml:space="preserve">110</w:t>
            </w:r>
          </w:p>
        </w:tc>
        <w:tc>
          <w:tcPr>
            <w:tcW w:type="dxa" w:w="700"/>
            <w:tcMar>
              <w:top w:type="dxa" w:w="80"/>
              <w:left w:type="dxa" w:w="100"/>
              <w:bottom w:type="dxa" w:w="80"/>
              <w:right w:type="dxa" w:w="100"/>
            </w:tcMar>
          </w:tcPr>
          <w:p>
            <w:pPr>
              <w:jc w:val="center"/>
            </w:pPr>
            <w:r>
              <w:rPr>
                <w:b w:val="false"/>
                <w:bCs w:val="false"/>
                <w:color w:val="20180F"/>
                <w:sz w:val="19"/>
                <w:szCs w:val="19"/>
              </w:rPr>
              <w:t xml:space="preserve">24%</w:t>
            </w:r>
          </w:p>
        </w:tc>
        <w:tc>
          <w:tcPr>
            <w:tcW w:type="dxa" w:w="800"/>
            <w:tcMar>
              <w:top w:type="dxa" w:w="80"/>
              <w:left w:type="dxa" w:w="100"/>
              <w:bottom w:type="dxa" w:w="80"/>
              <w:right w:type="dxa" w:w="100"/>
            </w:tcMar>
          </w:tcPr>
          <w:p>
            <w:pPr>
              <w:jc w:val="center"/>
            </w:pPr>
            <w:r>
              <w:rPr>
                <w:b w:val="false"/>
                <w:bCs w:val="false"/>
                <w:color w:val="20180F"/>
                <w:sz w:val="19"/>
                <w:szCs w:val="19"/>
              </w:rPr>
              <w:t xml:space="preserve">RM0.55</w:t>
            </w:r>
          </w:p>
        </w:tc>
        <w:tc>
          <w:tcPr>
            <w:tcW w:type="dxa" w:w="1000"/>
            <w:tcMar>
              <w:top w:type="dxa" w:w="80"/>
              <w:left w:type="dxa" w:w="100"/>
              <w:bottom w:type="dxa" w:w="80"/>
              <w:right w:type="dxa" w:w="100"/>
            </w:tcMar>
          </w:tcPr>
          <w:p>
            <w:pPr>
              <w:jc w:val="center"/>
            </w:pPr>
            <w:r>
              <w:rPr>
                <w:b w:val="false"/>
                <w:bCs w:val="false"/>
                <w:color w:val="20180F"/>
                <w:sz w:val="19"/>
                <w:szCs w:val="19"/>
              </w:rPr>
              <w:t xml:space="preserve">Info.</w:t>
            </w:r>
          </w:p>
        </w:tc>
        <w:tc>
          <w:tcPr>
            <w:tcW w:type="dxa" w:w="3660"/>
            <w:tcMar>
              <w:top w:type="dxa" w:w="80"/>
              <w:left w:type="dxa" w:w="100"/>
              <w:bottom w:type="dxa" w:w="80"/>
              <w:right w:type="dxa" w:w="100"/>
            </w:tcMar>
          </w:tcPr>
          <w:p>
            <w:pPr>
              <w:jc w:val="center"/>
            </w:pPr>
            <w:r>
              <w:rPr>
                <w:b w:val="false"/>
                <w:bCs w:val="false"/>
                <w:color w:val="20180F"/>
                <w:sz w:val="19"/>
                <w:szCs w:val="19"/>
              </w:rPr>
              <w:t xml:space="preserve">Supporting blog content.</w:t>
            </w:r>
          </w:p>
        </w:tc>
      </w:tr>
    </w:tbl>
    <w:p>
      <w:pPr>
        <w:pStyle w:val="Heading1"/>
        <w:spacing w:after="200" w:before="400"/>
      </w:pPr>
      <w:r>
        <w:rPr>
          <w:b/>
          <w:bCs/>
          <w:color w:val="20180F"/>
          <w:sz w:val="30"/>
          <w:szCs w:val="30"/>
        </w:rPr>
        <w:t xml:space="preserve">Keywords not worth pursuing</w:t>
      </w:r>
    </w:p>
    <w:p>
      <w:pPr>
        <w:spacing w:after="200" w:line="300"/>
      </w:pPr>
      <w:r>
        <w:rPr>
          <w:color w:val="20180F"/>
          <w:sz w:val="21"/>
          <w:szCs w:val="21"/>
        </w:rPr>
        <w:t xml:space="preserve">For completeness, here’s what was in the research pull but is excluded, and why.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900"/>
        <w:gridCol w:w="900"/>
        <w:gridCol w:w="5060"/>
      </w:tblGrid>
      <w:tr>
        <w:trPr>
          <w:tblHeader/>
        </w:trPr>
        <w:tc>
          <w:tcPr>
            <w:tcW w:type="dxa" w:w="3900"/>
            <w:shd w:fill="20180F" w:color="auto" w:val="clear"/>
            <w:tcMar>
              <w:top w:type="dxa" w:w="80"/>
              <w:left w:type="dxa" w:w="100"/>
              <w:bottom w:type="dxa" w:w="80"/>
              <w:right w:type="dxa" w:w="100"/>
            </w:tcMar>
          </w:tcPr>
          <w:p>
            <w:pPr>
              <w:jc w:val="left"/>
            </w:pPr>
            <w:r>
              <w:rPr>
                <w:b/>
                <w:bCs/>
                <w:color w:val="FFFFFF"/>
                <w:sz w:val="18"/>
                <w:szCs w:val="18"/>
              </w:rPr>
              <w:t xml:space="preserve">Keyword(s)</w:t>
            </w:r>
          </w:p>
        </w:tc>
        <w:tc>
          <w:tcPr>
            <w:tcW w:type="dxa" w:w="900"/>
            <w:shd w:fill="20180F" w:color="auto" w:val="clear"/>
            <w:tcMar>
              <w:top w:type="dxa" w:w="80"/>
              <w:left w:type="dxa" w:w="100"/>
              <w:bottom w:type="dxa" w:w="80"/>
              <w:right w:type="dxa" w:w="100"/>
            </w:tcMar>
          </w:tcPr>
          <w:p>
            <w:pPr>
              <w:jc w:val="left"/>
            </w:pPr>
            <w:r>
              <w:rPr>
                <w:b/>
                <w:bCs/>
                <w:color w:val="FFFFFF"/>
                <w:sz w:val="18"/>
                <w:szCs w:val="18"/>
              </w:rPr>
              <w:t xml:space="preserve">Volume</w:t>
            </w:r>
          </w:p>
        </w:tc>
        <w:tc>
          <w:tcPr>
            <w:tcW w:type="dxa" w:w="5060"/>
            <w:shd w:fill="20180F" w:color="auto" w:val="clear"/>
            <w:tcMar>
              <w:top w:type="dxa" w:w="80"/>
              <w:left w:type="dxa" w:w="100"/>
              <w:bottom w:type="dxa" w:w="80"/>
              <w:right w:type="dxa" w:w="100"/>
            </w:tcMar>
          </w:tcPr>
          <w:p>
            <w:pPr>
              <w:jc w:val="left"/>
            </w:pPr>
            <w:r>
              <w:rPr>
                <w:b/>
                <w:bCs/>
                <w:color w:val="FFFFFF"/>
                <w:sz w:val="18"/>
                <w:szCs w:val="18"/>
              </w:rPr>
              <w:t xml:space="preserve">Reason to skip</w:t>
            </w:r>
          </w:p>
        </w:tc>
      </w:tr>
      <w:tr>
        <w:tc>
          <w:tcPr>
            <w:tcW w:type="dxa" w:w="3900"/>
            <w:tcMar>
              <w:top w:type="dxa" w:w="80"/>
              <w:left w:type="dxa" w:w="100"/>
              <w:bottom w:type="dxa" w:w="80"/>
              <w:right w:type="dxa" w:w="100"/>
            </w:tcMar>
          </w:tcPr>
          <w:p>
            <w:pPr>
              <w:jc w:val="left"/>
            </w:pPr>
            <w:r>
              <w:rPr>
                <w:b w:val="false"/>
                <w:bCs w:val="false"/>
                <w:color w:val="20180F"/>
                <w:sz w:val="19"/>
                <w:szCs w:val="19"/>
              </w:rPr>
              <w:t xml:space="preserve">apartments, condo, condos near me, condominiums near me, apartments near me, condo master</w:t>
            </w:r>
          </w:p>
        </w:tc>
        <w:tc>
          <w:tcPr>
            <w:tcW w:type="dxa" w:w="900"/>
            <w:tcMar>
              <w:top w:type="dxa" w:w="80"/>
              <w:left w:type="dxa" w:w="100"/>
              <w:bottom w:type="dxa" w:w="80"/>
              <w:right w:type="dxa" w:w="100"/>
            </w:tcMar>
          </w:tcPr>
          <w:p>
            <w:pPr>
              <w:jc w:val="center"/>
            </w:pPr>
            <w:r>
              <w:rPr>
                <w:b w:val="false"/>
                <w:bCs w:val="false"/>
                <w:color w:val="20180F"/>
                <w:sz w:val="19"/>
                <w:szCs w:val="19"/>
              </w:rPr>
              <w:t xml:space="preserve">8,100–33,100 each</w:t>
            </w:r>
          </w:p>
        </w:tc>
        <w:tc>
          <w:tcPr>
            <w:tcW w:type="dxa" w:w="5060"/>
            <w:tcMar>
              <w:top w:type="dxa" w:w="80"/>
              <w:left w:type="dxa" w:w="100"/>
              <w:bottom w:type="dxa" w:w="80"/>
              <w:right w:type="dxa" w:w="100"/>
            </w:tcMar>
          </w:tcPr>
          <w:p>
            <w:pPr>
              <w:jc w:val="center"/>
            </w:pPr>
            <w:r>
              <w:rPr>
                <w:b w:val="false"/>
                <w:bCs w:val="false"/>
                <w:color w:val="20180F"/>
                <w:sz w:val="19"/>
                <w:szCs w:val="19"/>
              </w:rPr>
              <w:t xml:space="preserve">Generic, national-scale terms. Ranking would require domain authority and “near me” local-pack signals a single prelaunch microsite won’t have.</w:t>
            </w:r>
          </w:p>
        </w:tc>
      </w:tr>
      <w:tr>
        <w:tc>
          <w:tcPr>
            <w:tcW w:type="dxa" w:w="3900"/>
            <w:shd w:fill="F5EFE3" w:color="auto" w:val="clear"/>
            <w:tcMar>
              <w:top w:type="dxa" w:w="80"/>
              <w:left w:type="dxa" w:w="100"/>
              <w:bottom w:type="dxa" w:w="80"/>
              <w:right w:type="dxa" w:w="100"/>
            </w:tcMar>
          </w:tcPr>
          <w:p>
            <w:pPr>
              <w:jc w:val="left"/>
            </w:pPr>
            <w:r>
              <w:rPr>
                <w:b w:val="false"/>
                <w:bCs w:val="false"/>
                <w:color w:val="20180F"/>
                <w:sz w:val="19"/>
                <w:szCs w:val="19"/>
              </w:rPr>
              <w:t xml:space="preserve">suriamas condo, riana green condo, armanee condo, 9 bukit utama condo</w:t>
            </w:r>
          </w:p>
        </w:tc>
        <w:tc>
          <w:tcPr>
            <w:tcW w:type="dxa" w:w="900"/>
            <w:shd w:fill="F5EFE3" w:color="auto" w:val="clear"/>
            <w:tcMar>
              <w:top w:type="dxa" w:w="80"/>
              <w:left w:type="dxa" w:w="100"/>
              <w:bottom w:type="dxa" w:w="80"/>
              <w:right w:type="dxa" w:w="100"/>
            </w:tcMar>
          </w:tcPr>
          <w:p>
            <w:pPr>
              <w:jc w:val="center"/>
            </w:pPr>
            <w:r>
              <w:rPr>
                <w:b w:val="false"/>
                <w:bCs w:val="false"/>
                <w:color w:val="20180F"/>
                <w:sz w:val="19"/>
                <w:szCs w:val="19"/>
              </w:rPr>
              <w:t xml:space="preserve">8,100–14,800 each</w:t>
            </w:r>
          </w:p>
        </w:tc>
        <w:tc>
          <w:tcPr>
            <w:tcW w:type="dxa" w:w="5060"/>
            <w:shd w:fill="F5EFE3" w:color="auto" w:val="clear"/>
            <w:tcMar>
              <w:top w:type="dxa" w:w="80"/>
              <w:left w:type="dxa" w:w="100"/>
              <w:bottom w:type="dxa" w:w="80"/>
              <w:right w:type="dxa" w:w="100"/>
            </w:tcMar>
          </w:tcPr>
          <w:p>
            <w:pPr>
              <w:jc w:val="center"/>
            </w:pPr>
            <w:r>
              <w:rPr>
                <w:b w:val="false"/>
                <w:bCs w:val="false"/>
                <w:color w:val="20180F"/>
                <w:sz w:val="19"/>
                <w:szCs w:val="19"/>
              </w:rPr>
              <w:t xml:space="preserve">These are other developments’ project names elsewhere in Malaysia — not ownable, not relevant to this launch.</w:t>
            </w:r>
          </w:p>
        </w:tc>
      </w:tr>
      <w:tr>
        <w:tc>
          <w:tcPr>
            <w:tcW w:type="dxa" w:w="3900"/>
            <w:tcMar>
              <w:top w:type="dxa" w:w="80"/>
              <w:left w:type="dxa" w:w="100"/>
              <w:bottom w:type="dxa" w:w="80"/>
              <w:right w:type="dxa" w:w="100"/>
            </w:tcMar>
          </w:tcPr>
          <w:p>
            <w:pPr>
              <w:jc w:val="left"/>
            </w:pPr>
            <w:r>
              <w:rPr>
                <w:b w:val="false"/>
                <w:bCs w:val="false"/>
                <w:color w:val="20180F"/>
                <w:sz w:val="19"/>
                <w:szCs w:val="19"/>
              </w:rPr>
              <w:t xml:space="preserve">pa international property consultants kl sdn bhd, i property kl, one asia property consultants kl sdn bhd, jasaland property consultants kl sdn bhd</w:t>
            </w:r>
          </w:p>
        </w:tc>
        <w:tc>
          <w:tcPr>
            <w:tcW w:type="dxa" w:w="900"/>
            <w:tcMar>
              <w:top w:type="dxa" w:w="80"/>
              <w:left w:type="dxa" w:w="100"/>
              <w:bottom w:type="dxa" w:w="80"/>
              <w:right w:type="dxa" w:w="100"/>
            </w:tcMar>
          </w:tcPr>
          <w:p>
            <w:pPr>
              <w:jc w:val="center"/>
            </w:pPr>
            <w:r>
              <w:rPr>
                <w:b w:val="false"/>
                <w:bCs w:val="false"/>
                <w:color w:val="20180F"/>
                <w:sz w:val="19"/>
                <w:szCs w:val="19"/>
              </w:rPr>
              <w:t xml:space="preserve">110–480 each</w:t>
            </w:r>
          </w:p>
        </w:tc>
        <w:tc>
          <w:tcPr>
            <w:tcW w:type="dxa" w:w="5060"/>
            <w:tcMar>
              <w:top w:type="dxa" w:w="80"/>
              <w:left w:type="dxa" w:w="100"/>
              <w:bottom w:type="dxa" w:w="80"/>
              <w:right w:type="dxa" w:w="100"/>
            </w:tcMar>
          </w:tcPr>
          <w:p>
            <w:pPr>
              <w:jc w:val="center"/>
            </w:pPr>
            <w:r>
              <w:rPr>
                <w:b w:val="false"/>
                <w:bCs w:val="false"/>
                <w:color w:val="20180F"/>
                <w:sz w:val="19"/>
                <w:szCs w:val="19"/>
              </w:rPr>
              <w:t xml:space="preserve">Navigational searches for specific competing agencies’ own names.</w:t>
            </w:r>
          </w:p>
        </w:tc>
      </w:tr>
      <w:tr>
        <w:tc>
          <w:tcPr>
            <w:tcW w:type="dxa" w:w="3900"/>
            <w:shd w:fill="F5EFE3" w:color="auto" w:val="clear"/>
            <w:tcMar>
              <w:top w:type="dxa" w:w="80"/>
              <w:left w:type="dxa" w:w="100"/>
              <w:bottom w:type="dxa" w:w="80"/>
              <w:right w:type="dxa" w:w="100"/>
            </w:tcMar>
          </w:tcPr>
          <w:p>
            <w:pPr>
              <w:jc w:val="left"/>
            </w:pPr>
            <w:r>
              <w:rPr>
                <w:b w:val="false"/>
                <w:bCs w:val="false"/>
                <w:color w:val="20180F"/>
                <w:sz w:val="19"/>
                <w:szCs w:val="19"/>
              </w:rPr>
              <w:t xml:space="preserve">property for rent in kl, condo for rent in pj, condo for rent in pj ss2, property management kl, auction property kl</w:t>
            </w:r>
          </w:p>
        </w:tc>
        <w:tc>
          <w:tcPr>
            <w:tcW w:type="dxa" w:w="900"/>
            <w:shd w:fill="F5EFE3" w:color="auto" w:val="clear"/>
            <w:tcMar>
              <w:top w:type="dxa" w:w="80"/>
              <w:left w:type="dxa" w:w="100"/>
              <w:bottom w:type="dxa" w:w="80"/>
              <w:right w:type="dxa" w:w="100"/>
            </w:tcMar>
          </w:tcPr>
          <w:p>
            <w:pPr>
              <w:jc w:val="center"/>
            </w:pPr>
            <w:r>
              <w:rPr>
                <w:b w:val="false"/>
                <w:bCs w:val="false"/>
                <w:color w:val="20180F"/>
                <w:sz w:val="19"/>
                <w:szCs w:val="19"/>
              </w:rPr>
              <w:t xml:space="preserve">140–720 each</w:t>
            </w:r>
          </w:p>
        </w:tc>
        <w:tc>
          <w:tcPr>
            <w:tcW w:type="dxa" w:w="5060"/>
            <w:shd w:fill="F5EFE3" w:color="auto" w:val="clear"/>
            <w:tcMar>
              <w:top w:type="dxa" w:w="80"/>
              <w:left w:type="dxa" w:w="100"/>
              <w:bottom w:type="dxa" w:w="80"/>
              <w:right w:type="dxa" w:w="100"/>
            </w:tcMar>
          </w:tcPr>
          <w:p>
            <w:pPr>
              <w:jc w:val="center"/>
            </w:pPr>
            <w:r>
              <w:rPr>
                <w:b w:val="false"/>
                <w:bCs w:val="false"/>
                <w:color w:val="20180F"/>
                <w:sz w:val="19"/>
                <w:szCs w:val="19"/>
              </w:rPr>
              <w:t xml:space="preserve">Wrong transaction type or service — this is a for-sale prelaunch, not a rental or auction listing.</w:t>
            </w:r>
          </w:p>
        </w:tc>
      </w:tr>
      <w:tr>
        <w:tc>
          <w:tcPr>
            <w:tcW w:type="dxa" w:w="3900"/>
            <w:tcMar>
              <w:top w:type="dxa" w:w="80"/>
              <w:left w:type="dxa" w:w="100"/>
              <w:bottom w:type="dxa" w:w="80"/>
              <w:right w:type="dxa" w:w="100"/>
            </w:tcMar>
          </w:tcPr>
          <w:p>
            <w:pPr>
              <w:jc w:val="left"/>
            </w:pPr>
            <w:r>
              <w:rPr>
                <w:b w:val="false"/>
                <w:bCs w:val="false"/>
                <w:color w:val="20180F"/>
                <w:sz w:val="19"/>
                <w:szCs w:val="19"/>
              </w:rPr>
              <w:t xml:space="preserve">pj south condo, pj midtown property gallery, paramount property pj</w:t>
            </w:r>
          </w:p>
        </w:tc>
        <w:tc>
          <w:tcPr>
            <w:tcW w:type="dxa" w:w="900"/>
            <w:tcMar>
              <w:top w:type="dxa" w:w="80"/>
              <w:left w:type="dxa" w:w="100"/>
              <w:bottom w:type="dxa" w:w="80"/>
              <w:right w:type="dxa" w:w="100"/>
            </w:tcMar>
          </w:tcPr>
          <w:p>
            <w:pPr>
              <w:jc w:val="center"/>
            </w:pPr>
            <w:r>
              <w:rPr>
                <w:b w:val="false"/>
                <w:bCs w:val="false"/>
                <w:color w:val="20180F"/>
                <w:sz w:val="19"/>
                <w:szCs w:val="19"/>
              </w:rPr>
              <w:t xml:space="preserve">30–90 each</w:t>
            </w:r>
          </w:p>
        </w:tc>
        <w:tc>
          <w:tcPr>
            <w:tcW w:type="dxa" w:w="5060"/>
            <w:tcMar>
              <w:top w:type="dxa" w:w="80"/>
              <w:left w:type="dxa" w:w="100"/>
              <w:bottom w:type="dxa" w:w="80"/>
              <w:right w:type="dxa" w:w="100"/>
            </w:tcMar>
          </w:tcPr>
          <w:p>
            <w:pPr>
              <w:jc w:val="center"/>
            </w:pPr>
            <w:r>
              <w:rPr>
                <w:b w:val="false"/>
                <w:bCs w:val="false"/>
                <w:color w:val="20180F"/>
                <w:sz w:val="19"/>
                <w:szCs w:val="19"/>
              </w:rPr>
              <w:t xml:space="preserve">Wrong sub-locality (PJ South ≠ the Jalan Kemajuan / Plaza 33 address) or a competitor’s branded project name.</w:t>
            </w:r>
          </w:p>
        </w:tc>
      </w:tr>
      <w:tr>
        <w:tc>
          <w:tcPr>
            <w:tcW w:type="dxa" w:w="3900"/>
            <w:shd w:fill="F5EFE3" w:color="auto" w:val="clear"/>
            <w:tcMar>
              <w:top w:type="dxa" w:w="80"/>
              <w:left w:type="dxa" w:w="100"/>
              <w:bottom w:type="dxa" w:w="80"/>
              <w:right w:type="dxa" w:w="100"/>
            </w:tcMar>
          </w:tcPr>
          <w:p>
            <w:pPr>
              <w:jc w:val="left"/>
            </w:pPr>
            <w:r>
              <w:rPr>
                <w:b w:val="false"/>
                <w:bCs w:val="false"/>
                <w:color w:val="20180F"/>
                <w:sz w:val="19"/>
                <w:szCs w:val="19"/>
              </w:rPr>
              <w:t xml:space="preserve">avaland</w:t>
            </w:r>
          </w:p>
        </w:tc>
        <w:tc>
          <w:tcPr>
            <w:tcW w:type="dxa" w:w="900"/>
            <w:shd w:fill="F5EFE3" w:color="auto" w:val="clear"/>
            <w:tcMar>
              <w:top w:type="dxa" w:w="80"/>
              <w:left w:type="dxa" w:w="100"/>
              <w:bottom w:type="dxa" w:w="80"/>
              <w:right w:type="dxa" w:w="100"/>
            </w:tcMar>
          </w:tcPr>
          <w:p>
            <w:pPr>
              <w:jc w:val="center"/>
            </w:pPr>
            <w:r>
              <w:rPr>
                <w:b w:val="false"/>
                <w:bCs w:val="false"/>
                <w:color w:val="20180F"/>
                <w:sz w:val="19"/>
                <w:szCs w:val="19"/>
              </w:rPr>
              <w:t xml:space="preserve">1,600</w:t>
            </w:r>
          </w:p>
        </w:tc>
        <w:tc>
          <w:tcPr>
            <w:tcW w:type="dxa" w:w="5060"/>
            <w:shd w:fill="F5EFE3" w:color="auto" w:val="clear"/>
            <w:tcMar>
              <w:top w:type="dxa" w:w="80"/>
              <w:left w:type="dxa" w:w="100"/>
              <w:bottom w:type="dxa" w:w="80"/>
              <w:right w:type="dxa" w:w="100"/>
            </w:tcMar>
          </w:tcPr>
          <w:p>
            <w:pPr>
              <w:jc w:val="center"/>
            </w:pPr>
            <w:r>
              <w:rPr>
                <w:b w:val="false"/>
                <w:bCs w:val="false"/>
                <w:color w:val="20180F"/>
                <w:sz w:val="19"/>
                <w:szCs w:val="19"/>
              </w:rPr>
              <w:t xml:space="preserve">Ambiguous — see “Open question” below before deciding whether to target this.</w:t>
            </w:r>
          </w:p>
        </w:tc>
      </w:tr>
    </w:tbl>
    <w:p>
      <w:pPr>
        <w:pStyle w:val="Heading1"/>
        <w:spacing w:after="200" w:before="400"/>
      </w:pPr>
      <w:r>
        <w:rPr>
          <w:b/>
          <w:bCs/>
          <w:color w:val="20180F"/>
          <w:sz w:val="30"/>
          <w:szCs w:val="30"/>
        </w:rPr>
        <w:t xml:space="preserve">On-page recommendations</w:t>
      </w:r>
    </w:p>
    <w:p>
      <w:pPr>
        <w:spacing w:after="200" w:line="300"/>
      </w:pPr>
      <w:r>
        <w:rPr>
          <w:color w:val="20180F"/>
          <w:sz w:val="21"/>
          <w:szCs w:val="21"/>
        </w:rPr>
        <w:t xml:space="preserve">Mapped to the current single-page structure (src/pages/index.astro):</w:t>
      </w:r>
    </w:p>
    <w:p>
      <w:pPr>
        <w:pStyle w:val="ListParagraph"/>
        <w:numPr>
          <w:ilvl w:val="0"/>
          <w:numId w:val="1"/>
        </w:numPr>
        <w:spacing w:after="90"/>
      </w:pPr>
      <w:r>
        <w:rPr>
          <w:color w:val="20180F"/>
          <w:sz w:val="21"/>
          <w:szCs w:val="21"/>
        </w:rPr>
        <w:t xml:space="preserve">Title tag &amp; meta description: work in “condo” explicitly — e.g. “Private Lift Condo in PJ | New Launch Petaling Jaya — Facing Plaza 33.” The current title leans on “residences,” which no one searches for.</w:t>
      </w:r>
    </w:p>
    <w:p>
      <w:pPr>
        <w:pStyle w:val="ListParagraph"/>
        <w:numPr>
          <w:ilvl w:val="0"/>
          <w:numId w:val="1"/>
        </w:numPr>
        <w:spacing w:after="90"/>
      </w:pPr>
      <w:r>
        <w:rPr>
          <w:color w:val="20180F"/>
          <w:sz w:val="21"/>
          <w:szCs w:val="21"/>
        </w:rPr>
        <w:t xml:space="preserve">Hero (H1): keep the brand line, but make sure the eyebrow text or subheading includes a literal keyword phrase like “New Launch Private Lift Condo” for crawlers, since the H1 itself (“When arrival becomes an experience”) is pure brand voice with no keyword value.</w:t>
      </w:r>
    </w:p>
    <w:p>
      <w:pPr>
        <w:pStyle w:val="ListParagraph"/>
        <w:numPr>
          <w:ilvl w:val="0"/>
          <w:numId w:val="1"/>
        </w:numPr>
        <w:spacing w:after="90"/>
      </w:pPr>
      <w:r>
        <w:rPr>
          <w:color w:val="20180F"/>
          <w:sz w:val="21"/>
          <w:szCs w:val="21"/>
        </w:rPr>
        <w:t xml:space="preserve">PrivateLift section: already uses “Private Lift” prominently — add the word “condo” once naturally in the body copy.</w:t>
      </w:r>
    </w:p>
    <w:p>
      <w:pPr>
        <w:pStyle w:val="ListParagraph"/>
        <w:numPr>
          <w:ilvl w:val="0"/>
          <w:numId w:val="1"/>
        </w:numPr>
        <w:spacing w:after="90"/>
      </w:pPr>
      <w:r>
        <w:rPr>
          <w:color w:val="20180F"/>
          <w:sz w:val="21"/>
          <w:szCs w:val="21"/>
        </w:rPr>
        <w:t xml:space="preserve">Residences section: add “condo” or “PJ condo” once in the supporting paragraph alongside “layouts” and “residences.”</w:t>
      </w:r>
    </w:p>
    <w:p>
      <w:pPr>
        <w:pStyle w:val="ListParagraph"/>
        <w:numPr>
          <w:ilvl w:val="0"/>
          <w:numId w:val="1"/>
        </w:numPr>
        <w:spacing w:after="90"/>
      </w:pPr>
      <w:r>
        <w:rPr>
          <w:color w:val="20180F"/>
          <w:sz w:val="21"/>
          <w:szCs w:val="21"/>
        </w:rPr>
        <w:t xml:space="preserve">Image alt text: several alt tags are already descriptive (good) — extend a couple to include “PJ condo” or “private lift condo” where natural.</w:t>
      </w:r>
    </w:p>
    <w:p>
      <w:pPr>
        <w:pStyle w:val="ListParagraph"/>
        <w:numPr>
          <w:ilvl w:val="0"/>
          <w:numId w:val="1"/>
        </w:numPr>
        <w:spacing w:after="90"/>
      </w:pPr>
      <w:r>
        <w:rPr>
          <w:color w:val="20180F"/>
          <w:sz w:val="21"/>
          <w:szCs w:val="21"/>
        </w:rPr>
        <w:t xml:space="preserve">Structured data: once the domain is fixed, also consider renaming the ApartmentComplex “name” field to include “condo” and setting a real streetAddress if available, for richer local search eligibility.</w:t>
      </w:r>
    </w:p>
    <w:p>
      <w:pPr>
        <w:pStyle w:val="ListParagraph"/>
        <w:numPr>
          <w:ilvl w:val="0"/>
          <w:numId w:val="1"/>
        </w:numPr>
        <w:spacing w:after="90"/>
      </w:pPr>
      <w:r>
        <w:rPr>
          <w:color w:val="20180F"/>
          <w:sz w:val="21"/>
          <w:szCs w:val="21"/>
        </w:rPr>
        <w:t xml:space="preserve">Local SEO: create/verify a Google Business Profile for Chloe Tan as negotiator — this is what would make “kl property agent” and any “near me” searches realistically reachable.</w:t>
      </w:r>
    </w:p>
    <w:p>
      <w:pPr>
        <w:pStyle w:val="Heading1"/>
        <w:spacing w:after="200" w:before="400"/>
      </w:pPr>
      <w:r>
        <w:rPr>
          <w:b/>
          <w:bCs/>
          <w:color w:val="20180F"/>
          <w:sz w:val="30"/>
          <w:szCs w:val="30"/>
        </w:rPr>
        <w:t xml:space="preserve">Content roadmap</w:t>
      </w:r>
    </w:p>
    <w:p>
      <w:pPr>
        <w:spacing w:after="200" w:line="300"/>
      </w:pPr>
      <w:r>
        <w:rPr>
          <w:color w:val="20180F"/>
          <w:sz w:val="21"/>
          <w:szCs w:val="21"/>
        </w:rPr>
        <w:t xml:space="preserve">The site is currently just index.astro and privacy.astro — there’s no room to absorb Tier 2 keywords without diluting the homepage. Two additions would let the site capture that traffic without changing the core landing page:</w:t>
      </w:r>
    </w:p>
    <w:p>
      <w:pPr>
        <w:pStyle w:val="ListParagraph"/>
        <w:numPr>
          <w:ilvl w:val="0"/>
          <w:numId w:val="1"/>
        </w:numPr>
        <w:spacing w:after="90"/>
      </w:pPr>
      <w:r>
        <w:rPr>
          <w:color w:val="20180F"/>
          <w:sz w:val="21"/>
          <w:szCs w:val="21"/>
        </w:rPr>
        <w:t xml:space="preserve">A short “new launches in KL &amp; PJ” guide or blog post — captures kl property for sale, new launch property in kl, kl property, kl property project, and links back to the main registration page as the featured listing.</w:t>
      </w:r>
    </w:p>
    <w:p>
      <w:pPr>
        <w:pStyle w:val="ListParagraph"/>
        <w:numPr>
          <w:ilvl w:val="0"/>
          <w:numId w:val="1"/>
        </w:numPr>
        <w:spacing w:after="90"/>
      </w:pPr>
      <w:r>
        <w:rPr>
          <w:color w:val="20180F"/>
          <w:sz w:val="21"/>
          <w:szCs w:val="21"/>
        </w:rPr>
        <w:t xml:space="preserve">An agent bio page for Chloe Tan (name, REN number, areas served, testimonials) — captures kl property agent and builds E-E-A-T signal, which also supports the RealEstateAgent schema already on the homepage.</w:t>
      </w:r>
    </w:p>
    <w:p>
      <w:pPr>
        <w:pStyle w:val="Heading1"/>
        <w:spacing w:after="200" w:before="400"/>
      </w:pPr>
      <w:r>
        <w:rPr>
          <w:b/>
          <w:bCs/>
          <w:color w:val="20180F"/>
          <w:sz w:val="30"/>
          <w:szCs w:val="30"/>
        </w:rPr>
        <w:t xml:space="preserve">Open question: “avaland”</w:t>
      </w:r>
    </w:p>
    <w:p>
      <w:pPr>
        <w:spacing w:after="200" w:line="300"/>
      </w:pPr>
      <w:r>
        <w:rPr>
          <w:color w:val="20180F"/>
          <w:sz w:val="21"/>
          <w:szCs w:val="21"/>
        </w:rPr>
        <w:t xml:space="preserve">“avaland” pulled 1,600 monthly searches, but it wasn’t clear from the research alone whether Avaland is the actual (currently undisclosed) developer behind this project, a nearby competing launch, or unrelated. The schema currently lists the developer only as “Established Malaysian Developer.” If Avaland is confirmed as the developer, naming them explicitly in the copy and schema would let the page pick up meaningful branded search volume; if it's a competitor, it should stay out of the content entirely. Worth confirming before deciding whether to act on this 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2026-07-11T09:04:51.817Z</dcterms:created>
  <dcterms:modified xsi:type="dcterms:W3CDTF">2026-07-11T09:04:51.824Z</dcterms:modified>
</cp:coreProperties>
</file>

<file path=docProps/custom.xml><?xml version="1.0" encoding="utf-8"?>
<Properties xmlns="http://schemas.openxmlformats.org/officeDocument/2006/custom-properties" xmlns:vt="http://schemas.openxmlformats.org/officeDocument/2006/docPropsVTypes"/>
</file>