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164C" w:rsidP="0327D3FC" w:rsidRDefault="060195FC" w14:paraId="6F6BC2C2" w14:textId="1DD8197D">
      <w:pPr>
        <w:pStyle w:val="Title"/>
        <w:rPr>
          <w:rFonts w:ascii="Aptos" w:hAnsi="Aptos" w:eastAsia="Aptos" w:cs="Aptos"/>
          <w:i w:val="1"/>
          <w:iCs w:val="1"/>
          <w:color w:val="000000" w:themeColor="text1" w:themeTint="FF" w:themeShade="FF"/>
        </w:rPr>
      </w:pPr>
      <w:r w:rsidR="060195FC">
        <w:rPr/>
        <w:t>NovigiSuper</w:t>
      </w:r>
      <w:r w:rsidR="060195FC">
        <w:rPr/>
        <w:t xml:space="preserve"> Product Disclosure Statement</w:t>
      </w:r>
    </w:p>
    <w:p w:rsidR="00C1164C" w:rsidP="0327D3FC" w:rsidRDefault="060195FC" w14:paraId="02817E6A" w14:textId="16755150">
      <w:pPr>
        <w:spacing w:before="240" w:after="240"/>
        <w:rPr>
          <w:rFonts w:ascii="Aptos" w:hAnsi="Aptos" w:eastAsia="Aptos" w:cs="Aptos"/>
          <w:i w:val="1"/>
          <w:iCs w:val="1"/>
          <w:color w:val="000000" w:themeColor="text1" w:themeTint="FF" w:themeShade="FF"/>
        </w:rPr>
      </w:pPr>
      <w:r w:rsidRPr="0327D3FC" w:rsidR="060195FC">
        <w:rPr>
          <w:rFonts w:ascii="Aptos" w:hAnsi="Aptos" w:eastAsia="Aptos" w:cs="Aptos"/>
          <w:i w:val="1"/>
          <w:iCs w:val="1"/>
          <w:color w:val="000000" w:themeColor="text1" w:themeTint="FF" w:themeShade="FF"/>
        </w:rPr>
        <w:t>Document Version: 2.4 (Effective 1 July 2025)</w:t>
      </w:r>
    </w:p>
    <w:p w:rsidR="00C1164C" w:rsidP="30A4BD99" w:rsidRDefault="060195FC" w14:paraId="46791B6C" w14:textId="151A51D0">
      <w:pPr>
        <w:spacing w:before="240" w:after="240"/>
      </w:pPr>
      <w:r w:rsidRPr="30A4BD99">
        <w:rPr>
          <w:rFonts w:ascii="Aptos" w:hAnsi="Aptos" w:eastAsia="Aptos" w:cs="Aptos"/>
          <w:b/>
          <w:bCs/>
          <w:color w:val="000000" w:themeColor="text1"/>
        </w:rPr>
        <w:t>1. Important Notice</w:t>
      </w:r>
      <w:r w:rsidRPr="30A4BD99">
        <w:rPr>
          <w:rFonts w:ascii="Aptos" w:hAnsi="Aptos" w:eastAsia="Aptos" w:cs="Aptos"/>
          <w:color w:val="000000" w:themeColor="text1"/>
        </w:rPr>
        <w:t xml:space="preserve"> This document replaces the PDS dated 2023. Members holding "Legacy" products should refer to Section 9. Information in this document is general advice only and does not take into account your personal objectives, financial situation, or needs.</w:t>
      </w:r>
    </w:p>
    <w:p w:rsidR="00C1164C" w:rsidP="30A4BD99" w:rsidRDefault="060195FC" w14:paraId="29082E25" w14:textId="4221A485">
      <w:pPr>
        <w:spacing w:before="240" w:after="240"/>
      </w:pPr>
      <w:r w:rsidRPr="30A4BD99">
        <w:rPr>
          <w:rFonts w:ascii="Aptos" w:hAnsi="Aptos" w:eastAsia="Aptos" w:cs="Aptos"/>
          <w:b/>
          <w:bCs/>
          <w:color w:val="000000" w:themeColor="text1"/>
        </w:rPr>
        <w:t>2. About NovigiSuper</w:t>
      </w:r>
      <w:r w:rsidRPr="30A4BD99">
        <w:rPr>
          <w:rFonts w:ascii="Aptos" w:hAnsi="Aptos" w:eastAsia="Aptos" w:cs="Aptos"/>
          <w:color w:val="000000" w:themeColor="text1"/>
        </w:rPr>
        <w:t xml:space="preserve"> NovigiSuper is a profit-to-member fund dedicated to the financial services and technology sectors. We exist to help our members achieve their best possible retirement outcome through low fees and strong long-term investment performance.</w:t>
      </w:r>
    </w:p>
    <w:p w:rsidR="00C1164C" w:rsidP="30A4BD99" w:rsidRDefault="060195FC" w14:paraId="1F399786" w14:textId="7130796A">
      <w:pPr>
        <w:spacing w:before="240" w:after="240"/>
      </w:pPr>
      <w:r w:rsidRPr="30A4BD99">
        <w:rPr>
          <w:rFonts w:ascii="Aptos" w:hAnsi="Aptos" w:eastAsia="Aptos" w:cs="Aptos"/>
          <w:b/>
          <w:bCs/>
          <w:color w:val="000000" w:themeColor="text1"/>
        </w:rPr>
        <w:t>3. Joining the Fund</w:t>
      </w:r>
      <w:r w:rsidRPr="30A4BD99">
        <w:rPr>
          <w:rFonts w:ascii="Aptos" w:hAnsi="Aptos" w:eastAsia="Aptos" w:cs="Aptos"/>
          <w:color w:val="000000" w:themeColor="text1"/>
        </w:rPr>
        <w:t xml:space="preserve"> You can join NovigiSuper if you are an Australian resident, regardless of your employment status. To join, complete the application form available on our website. Standard employer contributions are paid into your account by your employer as per the Superannuation Guarantee.</w:t>
      </w:r>
    </w:p>
    <w:p w:rsidR="00C1164C" w:rsidP="046C680F" w:rsidRDefault="060195FC" w14:paraId="40651C9A" w14:textId="3461946F">
      <w:pPr>
        <w:spacing w:before="240" w:after="240"/>
        <w:rPr>
          <w:rFonts w:ascii="Aptos" w:hAnsi="Aptos" w:eastAsia="Aptos" w:cs="Aptos"/>
          <w:i w:val="1"/>
          <w:iCs w:val="1"/>
          <w:color w:val="000000" w:themeColor="text1" w:themeTint="FF" w:themeShade="FF"/>
        </w:rPr>
      </w:pPr>
      <w:r w:rsidRPr="046C680F" w:rsidR="060195FC">
        <w:rPr>
          <w:rFonts w:ascii="Aptos" w:hAnsi="Aptos" w:eastAsia="Aptos" w:cs="Aptos"/>
          <w:b w:val="1"/>
          <w:bCs w:val="1"/>
          <w:color w:val="000000" w:themeColor="text1" w:themeTint="FF" w:themeShade="FF"/>
        </w:rPr>
        <w:t>4. Investment Performance (Current Open Products)</w:t>
      </w:r>
      <w:r w:rsidRPr="046C680F" w:rsidR="060195FC">
        <w:rPr>
          <w:rFonts w:ascii="Aptos" w:hAnsi="Aptos" w:eastAsia="Aptos" w:cs="Aptos"/>
          <w:color w:val="000000" w:themeColor="text1" w:themeTint="FF" w:themeShade="FF"/>
        </w:rPr>
        <w:t xml:space="preserve"> </w:t>
      </w:r>
      <w:r w:rsidRPr="046C680F" w:rsidR="060195FC">
        <w:rPr>
          <w:rFonts w:ascii="Aptos" w:hAnsi="Aptos" w:eastAsia="Aptos" w:cs="Aptos"/>
          <w:i w:val="1"/>
          <w:iCs w:val="1"/>
          <w:color w:val="000000" w:themeColor="text1" w:themeTint="FF" w:themeShade="FF"/>
        </w:rPr>
        <w:t>Performances listed below are targets for the 202</w:t>
      </w:r>
      <w:r w:rsidRPr="046C680F" w:rsidR="665A446C">
        <w:rPr>
          <w:rFonts w:ascii="Aptos" w:hAnsi="Aptos" w:eastAsia="Aptos" w:cs="Aptos"/>
          <w:i w:val="1"/>
          <w:iCs w:val="1"/>
          <w:color w:val="000000" w:themeColor="text1" w:themeTint="FF" w:themeShade="FF"/>
        </w:rPr>
        <w:t>6</w:t>
      </w:r>
      <w:r w:rsidRPr="046C680F" w:rsidR="060195FC">
        <w:rPr>
          <w:rFonts w:ascii="Aptos" w:hAnsi="Aptos" w:eastAsia="Aptos" w:cs="Aptos"/>
          <w:i w:val="1"/>
          <w:iCs w:val="1"/>
          <w:color w:val="000000" w:themeColor="text1" w:themeTint="FF" w:themeShade="FF"/>
        </w:rPr>
        <w:t xml:space="preserve"> </w:t>
      </w:r>
      <w:r w:rsidRPr="046C680F" w:rsidR="060195FC">
        <w:rPr>
          <w:rFonts w:ascii="Aptos" w:hAnsi="Aptos" w:eastAsia="Aptos" w:cs="Aptos"/>
          <w:i w:val="1"/>
          <w:iCs w:val="1"/>
          <w:color w:val="000000" w:themeColor="text1" w:themeTint="FF" w:themeShade="FF"/>
        </w:rPr>
        <w:t>financial year</w:t>
      </w:r>
      <w:r w:rsidRPr="046C680F" w:rsidR="060195FC">
        <w:rPr>
          <w:rFonts w:ascii="Aptos" w:hAnsi="Aptos" w:eastAsia="Aptos" w:cs="Aptos"/>
          <w:i w:val="1"/>
          <w:iCs w:val="1"/>
          <w:color w:val="000000" w:themeColor="text1" w:themeTint="FF" w:themeShade="FF"/>
        </w:rPr>
        <w:t>.</w:t>
      </w:r>
    </w:p>
    <w:tbl>
      <w:tblPr>
        <w:tblStyle w:val="TableNormal"/>
        <w:bidiVisual w:val="0"/>
        <w:tblW w:w="0" w:type="auto"/>
        <w:tblLook w:val="06A0" w:firstRow="1" w:lastRow="0" w:firstColumn="1" w:lastColumn="0" w:noHBand="1" w:noVBand="1"/>
      </w:tblPr>
      <w:tblGrid>
        <w:gridCol w:w="1955"/>
        <w:gridCol w:w="2496"/>
        <w:gridCol w:w="1500"/>
      </w:tblGrid>
      <w:tr w:rsidR="0327D3FC" w:rsidTr="046C680F" w14:paraId="236D65C8">
        <w:trPr>
          <w:trHeight w:val="300"/>
        </w:trPr>
        <w:tc>
          <w:tcPr>
            <w:tcW w:w="1955" w:type="dxa"/>
            <w:tcBorders>
              <w:top w:val="single" w:sz="6"/>
              <w:left w:val="single" w:sz="6"/>
              <w:bottom w:val="single" w:sz="6"/>
              <w:right w:val="single" w:sz="6"/>
            </w:tcBorders>
            <w:shd w:val="clear" w:color="auto" w:fill="000000" w:themeFill="text1"/>
            <w:tcMar/>
            <w:vAlign w:val="center"/>
          </w:tcPr>
          <w:p w:rsidR="0327D3FC" w:rsidP="046C680F" w:rsidRDefault="0327D3FC" w14:paraId="4B97CA7B" w14:textId="5D0AC5FC">
            <w:pPr>
              <w:spacing w:before="0" w:beforeAutospacing="off" w:after="0" w:afterAutospacing="off"/>
              <w:rPr>
                <w:b w:val="1"/>
                <w:bCs w:val="1"/>
                <w:color w:val="FFFFFF" w:themeColor="background1" w:themeTint="FF" w:themeShade="FF"/>
              </w:rPr>
            </w:pPr>
            <w:r w:rsidRPr="046C680F" w:rsidR="0327D3FC">
              <w:rPr>
                <w:b w:val="1"/>
                <w:bCs w:val="1"/>
                <w:color w:val="FFFFFF" w:themeColor="background1" w:themeTint="FF" w:themeShade="FF"/>
              </w:rPr>
              <w:t>Option</w:t>
            </w:r>
            <w:r w:rsidRPr="046C680F" w:rsidR="0327D3FC">
              <w:rPr>
                <w:b w:val="1"/>
                <w:bCs w:val="1"/>
                <w:color w:val="FFFFFF" w:themeColor="background1" w:themeTint="FF" w:themeShade="FF"/>
              </w:rPr>
              <w:t xml:space="preserve"> Name</w:t>
            </w:r>
          </w:p>
        </w:tc>
        <w:tc>
          <w:tcPr>
            <w:tcW w:w="2496" w:type="dxa"/>
            <w:tcBorders>
              <w:top w:val="single" w:sz="6"/>
              <w:left w:val="single" w:sz="6"/>
              <w:bottom w:val="single" w:sz="6"/>
              <w:right w:val="single" w:sz="6"/>
            </w:tcBorders>
            <w:shd w:val="clear" w:color="auto" w:fill="000000" w:themeFill="text1"/>
            <w:tcMar/>
            <w:vAlign w:val="center"/>
          </w:tcPr>
          <w:p w:rsidR="0327D3FC" w:rsidP="046C680F" w:rsidRDefault="0327D3FC" w14:paraId="6254580D" w14:textId="129471CD">
            <w:pPr>
              <w:spacing w:before="0" w:beforeAutospacing="off" w:after="0" w:afterAutospacing="off"/>
              <w:rPr>
                <w:b w:val="1"/>
                <w:bCs w:val="1"/>
                <w:color w:val="FFFFFF" w:themeColor="background1" w:themeTint="FF" w:themeShade="FF"/>
              </w:rPr>
            </w:pPr>
            <w:r w:rsidRPr="046C680F" w:rsidR="0327D3FC">
              <w:rPr>
                <w:b w:val="1"/>
                <w:bCs w:val="1"/>
                <w:color w:val="FFFFFF" w:themeColor="background1" w:themeTint="FF" w:themeShade="FF"/>
              </w:rPr>
              <w:t>Target Return (p.a.)</w:t>
            </w:r>
          </w:p>
        </w:tc>
        <w:tc>
          <w:tcPr>
            <w:tcW w:w="1500" w:type="dxa"/>
            <w:tcBorders>
              <w:top w:val="single" w:sz="6"/>
              <w:left w:val="single" w:sz="6"/>
              <w:bottom w:val="single" w:sz="6"/>
              <w:right w:val="single" w:sz="6"/>
            </w:tcBorders>
            <w:shd w:val="clear" w:color="auto" w:fill="000000" w:themeFill="text1"/>
            <w:tcMar/>
            <w:vAlign w:val="center"/>
          </w:tcPr>
          <w:p w:rsidR="0327D3FC" w:rsidP="046C680F" w:rsidRDefault="0327D3FC" w14:paraId="4BFFCC4B" w14:textId="0E98FDED">
            <w:pPr>
              <w:spacing w:before="0" w:beforeAutospacing="off" w:after="0" w:afterAutospacing="off"/>
              <w:rPr>
                <w:b w:val="1"/>
                <w:bCs w:val="1"/>
                <w:color w:val="FFFFFF" w:themeColor="background1" w:themeTint="FF" w:themeShade="FF"/>
              </w:rPr>
            </w:pPr>
            <w:r w:rsidRPr="046C680F" w:rsidR="0327D3FC">
              <w:rPr>
                <w:b w:val="1"/>
                <w:bCs w:val="1"/>
                <w:color w:val="FFFFFF" w:themeColor="background1" w:themeTint="FF" w:themeShade="FF"/>
              </w:rPr>
              <w:t>Risk Label</w:t>
            </w:r>
          </w:p>
        </w:tc>
      </w:tr>
      <w:tr w:rsidR="0327D3FC" w:rsidTr="046C680F" w14:paraId="1B7A0D40">
        <w:trPr>
          <w:trHeight w:val="300"/>
        </w:trPr>
        <w:tc>
          <w:tcPr>
            <w:tcW w:w="1955" w:type="dxa"/>
            <w:tcBorders>
              <w:top w:val="single" w:sz="6"/>
              <w:left w:val="single" w:sz="6"/>
              <w:bottom w:val="single" w:sz="6"/>
              <w:right w:val="single" w:sz="6"/>
            </w:tcBorders>
            <w:tcMar/>
            <w:vAlign w:val="center"/>
          </w:tcPr>
          <w:p w:rsidR="0327D3FC" w:rsidP="0327D3FC" w:rsidRDefault="0327D3FC" w14:paraId="0097E890" w14:textId="17234D70">
            <w:pPr>
              <w:spacing w:before="0" w:beforeAutospacing="off" w:after="0" w:afterAutospacing="off"/>
            </w:pPr>
            <w:r w:rsidRPr="0327D3FC" w:rsidR="0327D3FC">
              <w:rPr>
                <w:color w:val="000000" w:themeColor="text1" w:themeTint="FF" w:themeShade="FF"/>
              </w:rPr>
              <w:t>Conservative</w:t>
            </w:r>
          </w:p>
        </w:tc>
        <w:tc>
          <w:tcPr>
            <w:tcW w:w="2496" w:type="dxa"/>
            <w:tcBorders>
              <w:top w:val="single" w:sz="6"/>
              <w:left w:val="single" w:sz="6"/>
              <w:bottom w:val="single" w:sz="6"/>
              <w:right w:val="single" w:sz="6"/>
            </w:tcBorders>
            <w:tcMar/>
            <w:vAlign w:val="center"/>
          </w:tcPr>
          <w:p w:rsidR="0327D3FC" w:rsidP="0327D3FC" w:rsidRDefault="0327D3FC" w14:paraId="0E838DBE" w14:textId="6245D8C1">
            <w:pPr>
              <w:spacing w:before="0" w:beforeAutospacing="off" w:after="0" w:afterAutospacing="off"/>
            </w:pPr>
            <w:r w:rsidRPr="0327D3FC" w:rsidR="0327D3FC">
              <w:rPr>
                <w:color w:val="000000" w:themeColor="text1" w:themeTint="FF" w:themeShade="FF"/>
              </w:rPr>
              <w:t>4.5%</w:t>
            </w:r>
          </w:p>
        </w:tc>
        <w:tc>
          <w:tcPr>
            <w:tcW w:w="1500" w:type="dxa"/>
            <w:tcBorders>
              <w:top w:val="single" w:sz="6"/>
              <w:left w:val="single" w:sz="6"/>
              <w:bottom w:val="single" w:sz="6"/>
              <w:right w:val="single" w:sz="6"/>
            </w:tcBorders>
            <w:tcMar/>
            <w:vAlign w:val="center"/>
          </w:tcPr>
          <w:p w:rsidR="0327D3FC" w:rsidP="0327D3FC" w:rsidRDefault="0327D3FC" w14:paraId="38775FD2" w14:textId="758FAC4E">
            <w:pPr>
              <w:spacing w:before="0" w:beforeAutospacing="off" w:after="0" w:afterAutospacing="off"/>
            </w:pPr>
            <w:r w:rsidRPr="0327D3FC" w:rsidR="0327D3FC">
              <w:rPr>
                <w:color w:val="000000" w:themeColor="text1" w:themeTint="FF" w:themeShade="FF"/>
              </w:rPr>
              <w:t>Low</w:t>
            </w:r>
          </w:p>
        </w:tc>
      </w:tr>
      <w:tr w:rsidR="0327D3FC" w:rsidTr="046C680F" w14:paraId="14A6F38F">
        <w:trPr>
          <w:trHeight w:val="300"/>
        </w:trPr>
        <w:tc>
          <w:tcPr>
            <w:tcW w:w="1955" w:type="dxa"/>
            <w:tcBorders>
              <w:top w:val="single" w:sz="6"/>
              <w:left w:val="single" w:sz="6"/>
              <w:bottom w:val="single" w:sz="6"/>
              <w:right w:val="single" w:sz="6"/>
            </w:tcBorders>
            <w:tcMar/>
            <w:vAlign w:val="center"/>
          </w:tcPr>
          <w:p w:rsidR="0327D3FC" w:rsidP="0327D3FC" w:rsidRDefault="0327D3FC" w14:paraId="71E4F512" w14:textId="407D1D51">
            <w:pPr>
              <w:spacing w:before="0" w:beforeAutospacing="off" w:after="0" w:afterAutospacing="off"/>
            </w:pPr>
            <w:r w:rsidRPr="0327D3FC" w:rsidR="0327D3FC">
              <w:rPr>
                <w:color w:val="000000" w:themeColor="text1" w:themeTint="FF" w:themeShade="FF"/>
              </w:rPr>
              <w:t>Balanced Index</w:t>
            </w:r>
          </w:p>
        </w:tc>
        <w:tc>
          <w:tcPr>
            <w:tcW w:w="2496" w:type="dxa"/>
            <w:tcBorders>
              <w:top w:val="single" w:sz="6"/>
              <w:left w:val="single" w:sz="6"/>
              <w:bottom w:val="single" w:sz="6"/>
              <w:right w:val="single" w:sz="6"/>
            </w:tcBorders>
            <w:tcMar/>
            <w:vAlign w:val="center"/>
          </w:tcPr>
          <w:p w:rsidR="0327D3FC" w:rsidP="0327D3FC" w:rsidRDefault="0327D3FC" w14:paraId="0167C78F" w14:textId="75793C12">
            <w:pPr>
              <w:spacing w:before="0" w:beforeAutospacing="off" w:after="0" w:afterAutospacing="off"/>
            </w:pPr>
            <w:r w:rsidRPr="0327D3FC" w:rsidR="0327D3FC">
              <w:rPr>
                <w:color w:val="000000" w:themeColor="text1" w:themeTint="FF" w:themeShade="FF"/>
              </w:rPr>
              <w:t>6.2%</w:t>
            </w:r>
          </w:p>
        </w:tc>
        <w:tc>
          <w:tcPr>
            <w:tcW w:w="1500" w:type="dxa"/>
            <w:tcBorders>
              <w:top w:val="single" w:sz="6"/>
              <w:left w:val="single" w:sz="6"/>
              <w:bottom w:val="single" w:sz="6"/>
              <w:right w:val="single" w:sz="6"/>
            </w:tcBorders>
            <w:tcMar/>
            <w:vAlign w:val="center"/>
          </w:tcPr>
          <w:p w:rsidR="0327D3FC" w:rsidP="0327D3FC" w:rsidRDefault="0327D3FC" w14:paraId="5E4B980A" w14:textId="4535D1F3">
            <w:pPr>
              <w:spacing w:before="0" w:beforeAutospacing="off" w:after="0" w:afterAutospacing="off"/>
            </w:pPr>
            <w:r w:rsidRPr="0327D3FC" w:rsidR="0327D3FC">
              <w:rPr>
                <w:color w:val="000000" w:themeColor="text1" w:themeTint="FF" w:themeShade="FF"/>
              </w:rPr>
              <w:t>Medium</w:t>
            </w:r>
          </w:p>
        </w:tc>
      </w:tr>
      <w:tr w:rsidR="0327D3FC" w:rsidTr="046C680F" w14:paraId="6BF9DD5B">
        <w:trPr>
          <w:trHeight w:val="300"/>
        </w:trPr>
        <w:tc>
          <w:tcPr>
            <w:tcW w:w="1955" w:type="dxa"/>
            <w:tcBorders>
              <w:top w:val="single" w:sz="6"/>
              <w:left w:val="single" w:sz="6"/>
              <w:bottom w:val="single" w:sz="6"/>
              <w:right w:val="single" w:sz="6"/>
            </w:tcBorders>
            <w:tcMar/>
            <w:vAlign w:val="center"/>
          </w:tcPr>
          <w:p w:rsidR="0327D3FC" w:rsidP="0327D3FC" w:rsidRDefault="0327D3FC" w14:paraId="47B37AE7" w14:textId="6A1330E7">
            <w:pPr>
              <w:spacing w:before="0" w:beforeAutospacing="off" w:after="0" w:afterAutospacing="off"/>
            </w:pPr>
            <w:r w:rsidRPr="0327D3FC" w:rsidR="0327D3FC">
              <w:rPr>
                <w:b w:val="1"/>
                <w:bCs w:val="1"/>
                <w:color w:val="000000" w:themeColor="text1" w:themeTint="FF" w:themeShade="FF"/>
              </w:rPr>
              <w:t>High Growth</w:t>
            </w:r>
          </w:p>
        </w:tc>
        <w:tc>
          <w:tcPr>
            <w:tcW w:w="2496" w:type="dxa"/>
            <w:tcBorders>
              <w:top w:val="single" w:sz="6"/>
              <w:left w:val="single" w:sz="6"/>
              <w:bottom w:val="single" w:sz="6"/>
              <w:right w:val="single" w:sz="6"/>
            </w:tcBorders>
            <w:tcMar/>
            <w:vAlign w:val="center"/>
          </w:tcPr>
          <w:p w:rsidR="0327D3FC" w:rsidP="0327D3FC" w:rsidRDefault="0327D3FC" w14:paraId="7AC20A38" w14:textId="47514547">
            <w:pPr>
              <w:spacing w:before="0" w:beforeAutospacing="off" w:after="0" w:afterAutospacing="off"/>
            </w:pPr>
            <w:r w:rsidRPr="0327D3FC" w:rsidR="0327D3FC">
              <w:rPr>
                <w:b w:val="1"/>
                <w:bCs w:val="1"/>
                <w:color w:val="000000" w:themeColor="text1" w:themeTint="FF" w:themeShade="FF"/>
              </w:rPr>
              <w:t>8.5%</w:t>
            </w:r>
          </w:p>
        </w:tc>
        <w:tc>
          <w:tcPr>
            <w:tcW w:w="1500" w:type="dxa"/>
            <w:tcBorders>
              <w:top w:val="single" w:sz="6"/>
              <w:left w:val="single" w:sz="6"/>
              <w:bottom w:val="single" w:sz="6"/>
              <w:right w:val="single" w:sz="6"/>
            </w:tcBorders>
            <w:tcMar/>
            <w:vAlign w:val="center"/>
          </w:tcPr>
          <w:p w:rsidR="0327D3FC" w:rsidP="0327D3FC" w:rsidRDefault="0327D3FC" w14:paraId="7C55798D" w14:textId="7BBF69E1">
            <w:pPr>
              <w:spacing w:before="0" w:beforeAutospacing="off" w:after="0" w:afterAutospacing="off"/>
            </w:pPr>
            <w:r w:rsidRPr="0327D3FC" w:rsidR="0327D3FC">
              <w:rPr>
                <w:color w:val="000000" w:themeColor="text1" w:themeTint="FF" w:themeShade="FF"/>
              </w:rPr>
              <w:t>High</w:t>
            </w:r>
          </w:p>
        </w:tc>
      </w:tr>
    </w:tbl>
    <w:p w:rsidR="00C1164C" w:rsidRDefault="00C1164C" w14:paraId="2C078E63" w14:textId="279200BF"/>
    <w:p w:rsidR="3D5163CF" w:rsidP="046C680F" w:rsidRDefault="3D5163CF" w14:paraId="606D13E9" w14:textId="7C2D6D4A">
      <w:pPr>
        <w:spacing w:before="240" w:beforeAutospacing="off" w:after="240" w:afterAutospacing="off"/>
      </w:pPr>
      <w:r w:rsidRPr="046C680F" w:rsidR="3D5163CF">
        <w:rPr>
          <w:rFonts w:ascii="Aptos" w:hAnsi="Aptos" w:eastAsia="Aptos" w:cs="Aptos"/>
          <w:b w:val="1"/>
          <w:bCs w:val="1"/>
          <w:noProof w:val="0"/>
          <w:color w:val="000000" w:themeColor="text1" w:themeTint="FF" w:themeShade="FF"/>
          <w:sz w:val="24"/>
          <w:szCs w:val="24"/>
          <w:lang w:val="en-US"/>
        </w:rPr>
        <w:t>5. Insurance Premiums</w:t>
      </w:r>
      <w:r w:rsidRPr="046C680F" w:rsidR="3D5163CF">
        <w:rPr>
          <w:rFonts w:ascii="Aptos" w:hAnsi="Aptos" w:eastAsia="Aptos" w:cs="Aptos"/>
          <w:noProof w:val="0"/>
          <w:color w:val="000000" w:themeColor="text1" w:themeTint="FF" w:themeShade="FF"/>
          <w:sz w:val="24"/>
          <w:szCs w:val="24"/>
          <w:lang w:val="en-US"/>
        </w:rPr>
        <w:t xml:space="preserve"> Death &amp; TPD cover is calculated at $0.45 per $1,000 of cover per week. Income Protection premiums vary based on age, gender, and occupation rating. All insurance premiums are deducted monthly from your super account.</w:t>
      </w:r>
    </w:p>
    <w:p w:rsidR="3D5163CF" w:rsidP="046C680F" w:rsidRDefault="3D5163CF" w14:paraId="7C87A341" w14:textId="5E352F40">
      <w:pPr>
        <w:spacing w:before="240" w:beforeAutospacing="off" w:after="240" w:afterAutospacing="off"/>
      </w:pPr>
      <w:r w:rsidRPr="046C680F" w:rsidR="3D5163CF">
        <w:rPr>
          <w:rFonts w:ascii="Aptos" w:hAnsi="Aptos" w:eastAsia="Aptos" w:cs="Aptos"/>
          <w:b w:val="1"/>
          <w:bCs w:val="1"/>
          <w:noProof w:val="0"/>
          <w:color w:val="000000" w:themeColor="text1" w:themeTint="FF" w:themeShade="FF"/>
          <w:sz w:val="24"/>
          <w:szCs w:val="24"/>
          <w:lang w:val="en-US"/>
        </w:rPr>
        <w:t>6. Accessing Your Super</w:t>
      </w:r>
      <w:r w:rsidRPr="046C680F" w:rsidR="3D5163CF">
        <w:rPr>
          <w:rFonts w:ascii="Aptos" w:hAnsi="Aptos" w:eastAsia="Aptos" w:cs="Aptos"/>
          <w:noProof w:val="0"/>
          <w:color w:val="000000" w:themeColor="text1" w:themeTint="FF" w:themeShade="FF"/>
          <w:sz w:val="24"/>
          <w:szCs w:val="24"/>
          <w:lang w:val="en-US"/>
        </w:rPr>
        <w:t xml:space="preserve"> Generally, you cannot access your super until you reach your "preservation age" and retire.</w:t>
      </w:r>
    </w:p>
    <w:p w:rsidR="3D5163CF" w:rsidP="046C680F" w:rsidRDefault="3D5163CF" w14:paraId="54FF1248" w14:textId="54ABB141">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6C680F" w:rsidR="3D5163CF">
        <w:rPr>
          <w:rFonts w:ascii="Aptos" w:hAnsi="Aptos" w:eastAsia="Aptos" w:cs="Aptos"/>
          <w:noProof w:val="0"/>
          <w:color w:val="000000" w:themeColor="text1" w:themeTint="FF" w:themeShade="FF"/>
          <w:sz w:val="24"/>
          <w:szCs w:val="24"/>
          <w:lang w:val="en-US"/>
        </w:rPr>
        <w:t>Born before 1 July 1960: 55</w:t>
      </w:r>
    </w:p>
    <w:p w:rsidR="3D5163CF" w:rsidP="046C680F" w:rsidRDefault="3D5163CF" w14:paraId="771E7083" w14:textId="589A8B1E">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6C680F" w:rsidR="3D5163CF">
        <w:rPr>
          <w:rFonts w:ascii="Aptos" w:hAnsi="Aptos" w:eastAsia="Aptos" w:cs="Aptos"/>
          <w:noProof w:val="0"/>
          <w:color w:val="000000" w:themeColor="text1" w:themeTint="FF" w:themeShade="FF"/>
          <w:sz w:val="24"/>
          <w:szCs w:val="24"/>
          <w:lang w:val="en-US"/>
        </w:rPr>
        <w:t>Born between 1 July 1960 and 30 June 1961: 56</w:t>
      </w:r>
    </w:p>
    <w:p w:rsidR="3D5163CF" w:rsidP="046C680F" w:rsidRDefault="3D5163CF" w14:paraId="0B3F175B" w14:textId="1074A22F">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6C680F" w:rsidR="3D5163CF">
        <w:rPr>
          <w:rFonts w:ascii="Aptos" w:hAnsi="Aptos" w:eastAsia="Aptos" w:cs="Aptos"/>
          <w:noProof w:val="0"/>
          <w:color w:val="000000" w:themeColor="text1" w:themeTint="FF" w:themeShade="FF"/>
          <w:sz w:val="24"/>
          <w:szCs w:val="24"/>
          <w:lang w:val="en-US"/>
        </w:rPr>
        <w:t>Born after 1 July 1964: 60</w:t>
      </w:r>
    </w:p>
    <w:p w:rsidR="3D5163CF" w:rsidP="046C680F" w:rsidRDefault="3D5163CF" w14:paraId="0AA22A4B" w14:textId="19466179">
      <w:pPr>
        <w:spacing w:before="240" w:beforeAutospacing="off" w:after="240" w:afterAutospacing="off"/>
      </w:pPr>
      <w:r w:rsidRPr="046C680F" w:rsidR="3D5163CF">
        <w:rPr>
          <w:rFonts w:ascii="Aptos" w:hAnsi="Aptos" w:eastAsia="Aptos" w:cs="Aptos"/>
          <w:b w:val="1"/>
          <w:bCs w:val="1"/>
          <w:noProof w:val="0"/>
          <w:color w:val="000000" w:themeColor="text1" w:themeTint="FF" w:themeShade="FF"/>
          <w:sz w:val="24"/>
          <w:szCs w:val="24"/>
          <w:lang w:val="en-US"/>
        </w:rPr>
        <w:t>7. Fees and Other Costs</w:t>
      </w:r>
      <w:r w:rsidRPr="046C680F" w:rsidR="3D5163CF">
        <w:rPr>
          <w:rFonts w:ascii="Aptos" w:hAnsi="Aptos" w:eastAsia="Aptos" w:cs="Aptos"/>
          <w:noProof w:val="0"/>
          <w:color w:val="000000" w:themeColor="text1" w:themeTint="FF" w:themeShade="FF"/>
          <w:sz w:val="24"/>
          <w:szCs w:val="24"/>
          <w:lang w:val="en-US"/>
        </w:rPr>
        <w:t xml:space="preserve"> Managing your super investment incurs the following costs:</w:t>
      </w:r>
    </w:p>
    <w:p w:rsidR="3D5163CF" w:rsidP="046C680F" w:rsidRDefault="3D5163CF" w14:paraId="13218ECE" w14:textId="123A345D">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6C680F" w:rsidR="3D5163CF">
        <w:rPr>
          <w:rFonts w:ascii="Aptos" w:hAnsi="Aptos" w:eastAsia="Aptos" w:cs="Aptos"/>
          <w:b w:val="1"/>
          <w:bCs w:val="1"/>
          <w:noProof w:val="0"/>
          <w:color w:val="000000" w:themeColor="text1" w:themeTint="FF" w:themeShade="FF"/>
          <w:sz w:val="24"/>
          <w:szCs w:val="24"/>
          <w:lang w:val="en-US"/>
        </w:rPr>
        <w:t>Investment Fees:</w:t>
      </w:r>
      <w:r w:rsidRPr="046C680F" w:rsidR="3D5163CF">
        <w:rPr>
          <w:rFonts w:ascii="Aptos" w:hAnsi="Aptos" w:eastAsia="Aptos" w:cs="Aptos"/>
          <w:noProof w:val="0"/>
          <w:color w:val="000000" w:themeColor="text1" w:themeTint="FF" w:themeShade="FF"/>
          <w:sz w:val="24"/>
          <w:szCs w:val="24"/>
          <w:lang w:val="en-US"/>
        </w:rPr>
        <w:t xml:space="preserve"> 0.60% p.a. of your account balance.</w:t>
      </w:r>
    </w:p>
    <w:p w:rsidR="3D5163CF" w:rsidP="046C680F" w:rsidRDefault="3D5163CF" w14:paraId="23A2A14C" w14:textId="570E9941">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6C680F" w:rsidR="3D5163CF">
        <w:rPr>
          <w:rFonts w:ascii="Aptos" w:hAnsi="Aptos" w:eastAsia="Aptos" w:cs="Aptos"/>
          <w:b w:val="1"/>
          <w:bCs w:val="1"/>
          <w:noProof w:val="0"/>
          <w:color w:val="000000" w:themeColor="text1" w:themeTint="FF" w:themeShade="FF"/>
          <w:sz w:val="24"/>
          <w:szCs w:val="24"/>
          <w:lang w:val="en-US"/>
        </w:rPr>
        <w:t>Administration Fees:</w:t>
      </w:r>
      <w:r w:rsidRPr="046C680F" w:rsidR="3D5163CF">
        <w:rPr>
          <w:rFonts w:ascii="Aptos" w:hAnsi="Aptos" w:eastAsia="Aptos" w:cs="Aptos"/>
          <w:noProof w:val="0"/>
          <w:color w:val="000000" w:themeColor="text1" w:themeTint="FF" w:themeShade="FF"/>
          <w:sz w:val="24"/>
          <w:szCs w:val="24"/>
          <w:lang w:val="en-US"/>
        </w:rPr>
        <w:t xml:space="preserve"> A flat fee of </w:t>
      </w:r>
      <w:r w:rsidRPr="046C680F" w:rsidR="3D5163CF">
        <w:rPr>
          <w:rFonts w:ascii="Aptos" w:hAnsi="Aptos" w:eastAsia="Aptos" w:cs="Aptos"/>
          <w:b w:val="1"/>
          <w:bCs w:val="1"/>
          <w:noProof w:val="0"/>
          <w:color w:val="000000" w:themeColor="text1" w:themeTint="FF" w:themeShade="FF"/>
          <w:sz w:val="24"/>
          <w:szCs w:val="24"/>
          <w:lang w:val="en-US"/>
        </w:rPr>
        <w:t>$3.00 per week</w:t>
      </w:r>
      <w:r w:rsidRPr="046C680F" w:rsidR="3D5163CF">
        <w:rPr>
          <w:rFonts w:ascii="Aptos" w:hAnsi="Aptos" w:eastAsia="Aptos" w:cs="Aptos"/>
          <w:noProof w:val="0"/>
          <w:color w:val="000000" w:themeColor="text1" w:themeTint="FF" w:themeShade="FF"/>
          <w:sz w:val="24"/>
          <w:szCs w:val="24"/>
          <w:lang w:val="en-US"/>
        </w:rPr>
        <w:t>, charged monthly.</w:t>
      </w:r>
    </w:p>
    <w:p w:rsidR="3D5163CF" w:rsidP="046C680F" w:rsidRDefault="3D5163CF" w14:paraId="5681733B" w14:textId="0B153325">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6C680F" w:rsidR="3D5163CF">
        <w:rPr>
          <w:rFonts w:ascii="Aptos" w:hAnsi="Aptos" w:eastAsia="Aptos" w:cs="Aptos"/>
          <w:b w:val="1"/>
          <w:bCs w:val="1"/>
          <w:noProof w:val="0"/>
          <w:color w:val="000000" w:themeColor="text1" w:themeTint="FF" w:themeShade="FF"/>
          <w:sz w:val="24"/>
          <w:szCs w:val="24"/>
          <w:lang w:val="en-US"/>
        </w:rPr>
        <w:t>Buy/Sell Spread:</w:t>
      </w:r>
      <w:r w:rsidRPr="046C680F" w:rsidR="3D5163CF">
        <w:rPr>
          <w:rFonts w:ascii="Aptos" w:hAnsi="Aptos" w:eastAsia="Aptos" w:cs="Aptos"/>
          <w:noProof w:val="0"/>
          <w:color w:val="000000" w:themeColor="text1" w:themeTint="FF" w:themeShade="FF"/>
          <w:sz w:val="24"/>
          <w:szCs w:val="24"/>
          <w:lang w:val="en-US"/>
        </w:rPr>
        <w:t xml:space="preserve"> Nil.</w:t>
      </w:r>
    </w:p>
    <w:p w:rsidR="3D5163CF" w:rsidP="046C680F" w:rsidRDefault="3D5163CF" w14:paraId="1027E846" w14:textId="0613B0B1">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6C680F" w:rsidR="3D5163CF">
        <w:rPr>
          <w:rFonts w:ascii="Aptos" w:hAnsi="Aptos" w:eastAsia="Aptos" w:cs="Aptos"/>
          <w:b w:val="1"/>
          <w:bCs w:val="1"/>
          <w:noProof w:val="0"/>
          <w:color w:val="000000" w:themeColor="text1" w:themeTint="FF" w:themeShade="FF"/>
          <w:sz w:val="24"/>
          <w:szCs w:val="24"/>
          <w:lang w:val="en-US"/>
        </w:rPr>
        <w:t>Exit Fee:</w:t>
      </w:r>
      <w:r w:rsidRPr="046C680F" w:rsidR="3D5163CF">
        <w:rPr>
          <w:rFonts w:ascii="Aptos" w:hAnsi="Aptos" w:eastAsia="Aptos" w:cs="Aptos"/>
          <w:noProof w:val="0"/>
          <w:color w:val="000000" w:themeColor="text1" w:themeTint="FF" w:themeShade="FF"/>
          <w:sz w:val="24"/>
          <w:szCs w:val="24"/>
          <w:lang w:val="en-US"/>
        </w:rPr>
        <w:t xml:space="preserve"> $0.00.</w:t>
      </w:r>
    </w:p>
    <w:p w:rsidR="3D5163CF" w:rsidP="046C680F" w:rsidRDefault="3D5163CF" w14:paraId="46A00252" w14:textId="3D5FE755">
      <w:pPr>
        <w:spacing w:before="240" w:beforeAutospacing="off" w:after="240" w:afterAutospacing="off"/>
      </w:pPr>
      <w:r w:rsidRPr="046C680F" w:rsidR="3D5163CF">
        <w:rPr>
          <w:rFonts w:ascii="Aptos" w:hAnsi="Aptos" w:eastAsia="Aptos" w:cs="Aptos"/>
          <w:b w:val="1"/>
          <w:bCs w:val="1"/>
          <w:noProof w:val="0"/>
          <w:color w:val="000000" w:themeColor="text1" w:themeTint="FF" w:themeShade="FF"/>
          <w:sz w:val="24"/>
          <w:szCs w:val="24"/>
          <w:lang w:val="en-US"/>
        </w:rPr>
        <w:t>8. Taxation</w:t>
      </w:r>
    </w:p>
    <w:p w:rsidR="3D5163CF" w:rsidP="046C680F" w:rsidRDefault="3D5163CF" w14:paraId="75075B58" w14:textId="1C9313A0">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6C680F" w:rsidR="3D5163CF">
        <w:rPr>
          <w:rFonts w:ascii="Aptos" w:hAnsi="Aptos" w:eastAsia="Aptos" w:cs="Aptos"/>
          <w:b w:val="1"/>
          <w:bCs w:val="1"/>
          <w:noProof w:val="0"/>
          <w:color w:val="000000" w:themeColor="text1" w:themeTint="FF" w:themeShade="FF"/>
          <w:sz w:val="24"/>
          <w:szCs w:val="24"/>
          <w:lang w:val="en-US"/>
        </w:rPr>
        <w:t>Concessional Contributions:</w:t>
      </w:r>
      <w:r w:rsidRPr="046C680F" w:rsidR="3D5163CF">
        <w:rPr>
          <w:rFonts w:ascii="Aptos" w:hAnsi="Aptos" w:eastAsia="Aptos" w:cs="Aptos"/>
          <w:noProof w:val="0"/>
          <w:color w:val="000000" w:themeColor="text1" w:themeTint="FF" w:themeShade="FF"/>
          <w:sz w:val="24"/>
          <w:szCs w:val="24"/>
          <w:lang w:val="en-US"/>
        </w:rPr>
        <w:t xml:space="preserve"> Taxed at 15% upon entry to the fund.</w:t>
      </w:r>
    </w:p>
    <w:p w:rsidR="3D5163CF" w:rsidP="046C680F" w:rsidRDefault="3D5163CF" w14:paraId="4DED242C" w14:textId="24EED40C">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6C680F" w:rsidR="3D5163CF">
        <w:rPr>
          <w:rFonts w:ascii="Aptos" w:hAnsi="Aptos" w:eastAsia="Aptos" w:cs="Aptos"/>
          <w:b w:val="1"/>
          <w:bCs w:val="1"/>
          <w:noProof w:val="0"/>
          <w:color w:val="000000" w:themeColor="text1" w:themeTint="FF" w:themeShade="FF"/>
          <w:sz w:val="24"/>
          <w:szCs w:val="24"/>
          <w:lang w:val="en-US"/>
        </w:rPr>
        <w:t>Investment Earnings:</w:t>
      </w:r>
      <w:r w:rsidRPr="046C680F" w:rsidR="3D5163CF">
        <w:rPr>
          <w:rFonts w:ascii="Aptos" w:hAnsi="Aptos" w:eastAsia="Aptos" w:cs="Aptos"/>
          <w:noProof w:val="0"/>
          <w:color w:val="000000" w:themeColor="text1" w:themeTint="FF" w:themeShade="FF"/>
          <w:sz w:val="24"/>
          <w:szCs w:val="24"/>
          <w:lang w:val="en-US"/>
        </w:rPr>
        <w:t xml:space="preserve"> Taxed at up to 15%.</w:t>
      </w:r>
    </w:p>
    <w:p w:rsidR="3D5163CF" w:rsidP="046C680F" w:rsidRDefault="3D5163CF" w14:paraId="191F0A10" w14:textId="4A7A859D">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6C680F" w:rsidR="3D5163CF">
        <w:rPr>
          <w:rFonts w:ascii="Aptos" w:hAnsi="Aptos" w:eastAsia="Aptos" w:cs="Aptos"/>
          <w:b w:val="1"/>
          <w:bCs w:val="1"/>
          <w:noProof w:val="0"/>
          <w:color w:val="000000" w:themeColor="text1" w:themeTint="FF" w:themeShade="FF"/>
          <w:sz w:val="24"/>
          <w:szCs w:val="24"/>
          <w:lang w:val="en-US"/>
        </w:rPr>
        <w:t>Withdrawals:</w:t>
      </w:r>
      <w:r w:rsidRPr="046C680F" w:rsidR="3D5163CF">
        <w:rPr>
          <w:rFonts w:ascii="Aptos" w:hAnsi="Aptos" w:eastAsia="Aptos" w:cs="Aptos"/>
          <w:noProof w:val="0"/>
          <w:color w:val="000000" w:themeColor="text1" w:themeTint="FF" w:themeShade="FF"/>
          <w:sz w:val="24"/>
          <w:szCs w:val="24"/>
          <w:lang w:val="en-US"/>
        </w:rPr>
        <w:t xml:space="preserve"> Tax-free for members aged 60 and over.</w:t>
      </w:r>
    </w:p>
    <w:p w:rsidR="3D5163CF" w:rsidP="046C680F" w:rsidRDefault="3D5163CF" w14:paraId="2F22F1F3" w14:textId="02640475">
      <w:pPr>
        <w:spacing w:before="240" w:beforeAutospacing="off" w:after="240" w:afterAutospacing="off"/>
      </w:pPr>
      <w:r w:rsidRPr="046C680F" w:rsidR="3D5163CF">
        <w:rPr>
          <w:rFonts w:ascii="Aptos" w:hAnsi="Aptos" w:eastAsia="Aptos" w:cs="Aptos"/>
          <w:b w:val="1"/>
          <w:bCs w:val="1"/>
          <w:noProof w:val="0"/>
          <w:color w:val="000000" w:themeColor="text1" w:themeTint="FF" w:themeShade="FF"/>
          <w:sz w:val="24"/>
          <w:szCs w:val="24"/>
          <w:lang w:val="en-US"/>
        </w:rPr>
        <w:t>9. Legacy Products (Closed to New Members)</w:t>
      </w:r>
      <w:r w:rsidRPr="046C680F" w:rsidR="3D5163CF">
        <w:rPr>
          <w:rFonts w:ascii="Aptos" w:hAnsi="Aptos" w:eastAsia="Aptos" w:cs="Aptos"/>
          <w:noProof w:val="0"/>
          <w:color w:val="000000" w:themeColor="text1" w:themeTint="FF" w:themeShade="FF"/>
          <w:sz w:val="24"/>
          <w:szCs w:val="24"/>
          <w:lang w:val="en-US"/>
        </w:rPr>
        <w:t xml:space="preserve"> </w:t>
      </w:r>
      <w:r w:rsidRPr="046C680F" w:rsidR="3D5163CF">
        <w:rPr>
          <w:rFonts w:ascii="Aptos" w:hAnsi="Aptos" w:eastAsia="Aptos" w:cs="Aptos"/>
          <w:i w:val="1"/>
          <w:iCs w:val="1"/>
          <w:noProof w:val="0"/>
          <w:color w:val="000000" w:themeColor="text1" w:themeTint="FF" w:themeShade="FF"/>
          <w:sz w:val="24"/>
          <w:szCs w:val="24"/>
          <w:lang w:val="en-US"/>
        </w:rPr>
        <w:t>These rates apply only to members who joined prior to 2020. These products are closed to new applicants.</w:t>
      </w:r>
    </w:p>
    <w:p w:rsidR="3D5163CF" w:rsidP="046C680F" w:rsidRDefault="3D5163CF" w14:paraId="60CA421E" w14:textId="55B54B9A">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6C680F" w:rsidR="3D5163CF">
        <w:rPr>
          <w:rFonts w:ascii="Aptos" w:hAnsi="Aptos" w:eastAsia="Aptos" w:cs="Aptos"/>
          <w:b w:val="1"/>
          <w:bCs w:val="1"/>
          <w:noProof w:val="0"/>
          <w:color w:val="000000" w:themeColor="text1" w:themeTint="FF" w:themeShade="FF"/>
          <w:sz w:val="24"/>
          <w:szCs w:val="24"/>
          <w:lang w:val="en-US"/>
        </w:rPr>
        <w:t>Conservative:</w:t>
      </w:r>
      <w:r w:rsidRPr="046C680F" w:rsidR="3D5163CF">
        <w:rPr>
          <w:rFonts w:ascii="Aptos" w:hAnsi="Aptos" w:eastAsia="Aptos" w:cs="Aptos"/>
          <w:noProof w:val="0"/>
          <w:color w:val="000000" w:themeColor="text1" w:themeTint="FF" w:themeShade="FF"/>
          <w:sz w:val="24"/>
          <w:szCs w:val="24"/>
          <w:lang w:val="en-US"/>
        </w:rPr>
        <w:t xml:space="preserve"> 3.0% p.a.</w:t>
      </w:r>
    </w:p>
    <w:p w:rsidR="3D5163CF" w:rsidP="046C680F" w:rsidRDefault="3D5163CF" w14:paraId="217650A4" w14:textId="437ED65D">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6C680F" w:rsidR="3D5163CF">
        <w:rPr>
          <w:rFonts w:ascii="Aptos" w:hAnsi="Aptos" w:eastAsia="Aptos" w:cs="Aptos"/>
          <w:b w:val="1"/>
          <w:bCs w:val="1"/>
          <w:noProof w:val="0"/>
          <w:color w:val="000000" w:themeColor="text1" w:themeTint="FF" w:themeShade="FF"/>
          <w:sz w:val="24"/>
          <w:szCs w:val="24"/>
          <w:lang w:val="en-US"/>
        </w:rPr>
        <w:t>High Growth:</w:t>
      </w:r>
      <w:r w:rsidRPr="046C680F" w:rsidR="3D5163CF">
        <w:rPr>
          <w:rFonts w:ascii="Aptos" w:hAnsi="Aptos" w:eastAsia="Aptos" w:cs="Aptos"/>
          <w:noProof w:val="0"/>
          <w:color w:val="000000" w:themeColor="text1" w:themeTint="FF" w:themeShade="FF"/>
          <w:sz w:val="24"/>
          <w:szCs w:val="24"/>
          <w:lang w:val="en-US"/>
        </w:rPr>
        <w:t xml:space="preserve"> 7.0% p.a. (Note: This product has higher fees of 1.2% p.a.).</w:t>
      </w:r>
    </w:p>
    <w:sectPr w:rsidR="00C1164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14b4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369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606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046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D7D6BF"/>
    <w:rsid w:val="009672D6"/>
    <w:rsid w:val="00C1164C"/>
    <w:rsid w:val="0327D3FC"/>
    <w:rsid w:val="046C680F"/>
    <w:rsid w:val="060195FC"/>
    <w:rsid w:val="18D7D6BF"/>
    <w:rsid w:val="1ED5FC83"/>
    <w:rsid w:val="2081FDDD"/>
    <w:rsid w:val="30A4BD99"/>
    <w:rsid w:val="3D5163CF"/>
    <w:rsid w:val="665A44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7D6BF"/>
  <w15:chartTrackingRefBased/>
  <w15:docId w15:val="{DCCF82D6-477D-4B57-A72C-11DEC02F0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327D3FC"/>
    <w:rPr>
      <w:rFonts w:ascii="Aptos Display" w:hAnsi="Aptos Display" w:eastAsia="ＭＳ ゴシック" w:cs="Times New Roman"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046C680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e373f75a6a4f4f5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8D76B417731E34D9D39FC1C3E6D6E98" ma:contentTypeVersion="11" ma:contentTypeDescription="Create a new document." ma:contentTypeScope="" ma:versionID="26dd85c483b33744c1f77150c604d6d0">
  <xsd:schema xmlns:xsd="http://www.w3.org/2001/XMLSchema" xmlns:xs="http://www.w3.org/2001/XMLSchema" xmlns:p="http://schemas.microsoft.com/office/2006/metadata/properties" xmlns:ns2="47890b9b-551e-442d-9329-533162ea2964" xmlns:ns3="f7658929-e559-4e1b-9b63-23bb9050ae14" targetNamespace="http://schemas.microsoft.com/office/2006/metadata/properties" ma:root="true" ma:fieldsID="a3ec3650cd695cc6b70047db0bbed125" ns2:_="" ns3:_="">
    <xsd:import namespace="47890b9b-551e-442d-9329-533162ea2964"/>
    <xsd:import namespace="f7658929-e559-4e1b-9b63-23bb905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890b9b-551e-442d-9329-533162ea29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83223ee-8767-4c5b-9c05-618d4e0885d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58929-e559-4e1b-9b63-23bb9050ae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563a90d-72d3-48e3-b5ae-aa82d1a2c2b4}" ma:internalName="TaxCatchAll" ma:showField="CatchAllData" ma:web="f7658929-e559-4e1b-9b63-23bb905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7658929-e559-4e1b-9b63-23bb9050ae14" xsi:nil="true"/>
    <lcf76f155ced4ddcb4097134ff3c332f xmlns="47890b9b-551e-442d-9329-533162ea29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C748F2-E570-4509-97C5-C18E2F0D7DC0}">
  <ds:schemaRefs>
    <ds:schemaRef ds:uri="http://schemas.microsoft.com/sharepoint/v3/contenttype/forms"/>
  </ds:schemaRefs>
</ds:datastoreItem>
</file>

<file path=customXml/itemProps2.xml><?xml version="1.0" encoding="utf-8"?>
<ds:datastoreItem xmlns:ds="http://schemas.openxmlformats.org/officeDocument/2006/customXml" ds:itemID="{9F003CFB-0600-46E6-922E-3535E3787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890b9b-551e-442d-9329-533162ea2964"/>
    <ds:schemaRef ds:uri="f7658929-e559-4e1b-9b63-23bb9050a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AE0354-7B55-4AB6-AF17-3E359D779F14}">
  <ds:schemaRefs>
    <ds:schemaRef ds:uri="http://schemas.microsoft.com/office/2006/metadata/properties"/>
    <ds:schemaRef ds:uri="http://schemas.microsoft.com/office/infopath/2007/PartnerControls"/>
    <ds:schemaRef ds:uri="f7658929-e559-4e1b-9b63-23bb9050ae14"/>
    <ds:schemaRef ds:uri="47890b9b-551e-442d-9329-533162ea2964"/>
  </ds:schemaRefs>
</ds:datastoreItem>
</file>

<file path=docMetadata/LabelInfo.xml><?xml version="1.0" encoding="utf-8"?>
<clbl:labelList xmlns:clbl="http://schemas.microsoft.com/office/2020/mipLabelMetadata">
  <clbl:label id="{294d5837-9d0a-46e9-8067-447bc7059a67}" enabled="1" method="Standard" siteId="{cb73b4f1-184d-4e36-842f-61451d69b568}"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Mafawalla</dc:creator>
  <cp:keywords/>
  <dc:description/>
  <cp:lastModifiedBy>Muhammed Mafawalla</cp:lastModifiedBy>
  <cp:revision>3</cp:revision>
  <dcterms:created xsi:type="dcterms:W3CDTF">2026-02-10T03:12:00Z</dcterms:created>
  <dcterms:modified xsi:type="dcterms:W3CDTF">2026-02-10T03:18:05Z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0x01010008D76B417731E34D9D39FC1C3E6D6E98</vt:lpwstr>
  </property>
  <property fmtid="{D5CDD505-2E9C-101B-9397-08002B2CF9AE}" pid="3" name="MediaServiceImageTags">
    <vt:lpwstr/>
  </property>
  <property fmtid="{D5CDD505-2E9C-101B-9397-08002B2CF9AE}" pid="5" name="docLang">
    <vt:lpwstr>en</vt:lpwstr>
  </property>
</Properties>
</file>