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45" w:rsidRPr="0069336C" w:rsidRDefault="00323345" w:rsidP="003233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69336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RYAN INGERSOLL</w:t>
      </w:r>
    </w:p>
    <w:p w:rsidR="00323345" w:rsidRPr="0069336C" w:rsidRDefault="00C35D98" w:rsidP="003233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pt;margin-top:41.25pt;width:466pt;height:1pt;flip:x;z-index:251659264" o:connectortype="straight" strokeweight="3pt"/>
        </w:pict>
      </w:r>
      <w:r w:rsidR="0069336C" w:rsidRPr="006933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ingytrader.com</w:t>
      </w:r>
    </w:p>
    <w:p w:rsidR="00323345" w:rsidRPr="00323345" w:rsidRDefault="002E7A9E" w:rsidP="00323345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color w:val="000000"/>
          <w:sz w:val="18"/>
          <w:szCs w:val="18"/>
        </w:rPr>
        <w:t>24385 Wilderness Oak #8306--San Antonio, TX</w:t>
      </w:r>
      <w:r w:rsidR="002B7105" w:rsidRPr="002B7105">
        <w:rPr>
          <w:rFonts w:ascii="Tahoma" w:eastAsia="Times New Roman" w:hAnsi="Tahoma" w:cs="Tahoma"/>
          <w:b/>
          <w:color w:val="000000"/>
          <w:sz w:val="18"/>
          <w:szCs w:val="18"/>
        </w:rPr>
        <w:t xml:space="preserve"> 78258</w:t>
      </w:r>
      <w:r w:rsidR="0069336C">
        <w:rPr>
          <w:rFonts w:ascii="Tahoma" w:eastAsia="Times New Roman" w:hAnsi="Tahoma" w:cs="Tahoma"/>
          <w:b/>
          <w:color w:val="000000"/>
          <w:sz w:val="18"/>
          <w:szCs w:val="18"/>
        </w:rPr>
        <w:t>—</w:t>
      </w:r>
      <w:hyperlink r:id="rId8" w:history="1">
        <w:r w:rsidR="0069336C" w:rsidRPr="000B16CE">
          <w:rPr>
            <w:rStyle w:val="Hyperlink"/>
            <w:rFonts w:ascii="Tahoma" w:eastAsia="Times New Roman" w:hAnsi="Tahoma" w:cs="Tahoma"/>
            <w:b/>
            <w:sz w:val="18"/>
            <w:szCs w:val="18"/>
          </w:rPr>
          <w:t>ingytrader@gmail.com</w:t>
        </w:r>
      </w:hyperlink>
      <w:r>
        <w:rPr>
          <w:rFonts w:ascii="Tahoma" w:eastAsia="Times New Roman" w:hAnsi="Tahoma" w:cs="Tahoma"/>
          <w:b/>
          <w:color w:val="000000"/>
          <w:sz w:val="18"/>
          <w:szCs w:val="18"/>
        </w:rPr>
        <w:t>--</w:t>
      </w:r>
      <w:r w:rsidR="002B7105" w:rsidRPr="002B7105">
        <w:rPr>
          <w:rFonts w:ascii="Tahoma" w:eastAsia="Times New Roman" w:hAnsi="Tahoma" w:cs="Tahoma"/>
          <w:b/>
          <w:color w:val="000000"/>
          <w:sz w:val="18"/>
          <w:szCs w:val="18"/>
        </w:rPr>
        <w:t>cell#(210) 912-4339</w:t>
      </w:r>
    </w:p>
    <w:p w:rsidR="00323345" w:rsidRDefault="00C35D98" w:rsidP="003233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pict>
          <v:shape id="_x0000_s1026" type="#_x0000_t32" style="position:absolute;margin-left:2pt;margin-top:5.05pt;width:466pt;height:1pt;flip:x;z-index:251658240" o:connectortype="straight" strokeweight="3pt"/>
        </w:pict>
      </w:r>
    </w:p>
    <w:p w:rsidR="00323345" w:rsidRPr="00323345" w:rsidRDefault="00323345" w:rsidP="0032334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0"/>
          <w:szCs w:val="20"/>
        </w:rPr>
      </w:pPr>
    </w:p>
    <w:p w:rsidR="00DA68EE" w:rsidRPr="004B3F9E" w:rsidRDefault="00DA68EE" w:rsidP="0032334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  <w:r w:rsidRPr="004B3F9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Financial Engineer and Full Stack Web Developer </w:t>
      </w:r>
    </w:p>
    <w:p w:rsidR="00951567" w:rsidRPr="004B3F9E" w:rsidRDefault="00DA68EE" w:rsidP="0032334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4"/>
          <w:szCs w:val="14"/>
        </w:rPr>
      </w:pPr>
      <w:r w:rsidRPr="004B3F9E"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I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own the unique double threat of being a full-stack, web develo</w:t>
      </w:r>
      <w:r w:rsidR="006A217D"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per coupled with the savvy of a 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veteran derivatives trader of the last two decades. The value I 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deliver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lies in my ability to develop </w:t>
      </w:r>
      <w:r w:rsidR="0069336C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and code 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proprietary quant</w:t>
      </w:r>
      <w:r w:rsidR="006A217D"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itative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strategies as well as bridge the communication g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ap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s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which occur</w:t>
      </w:r>
      <w:r w:rsidR="004B3F9E"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between 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trading desks</w:t>
      </w:r>
      <w:r w:rsidR="004B3F9E"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and application developers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6B248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for</w:t>
      </w:r>
      <w:r w:rsidRPr="004B3F9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investment banks, prop firms or hedge funds</w:t>
      </w:r>
      <w:r w:rsidRPr="004B3F9E">
        <w:rPr>
          <w:rFonts w:ascii="Tahoma" w:hAnsi="Tahoma" w:cs="Tahoma"/>
          <w:color w:val="333333"/>
          <w:sz w:val="16"/>
          <w:szCs w:val="16"/>
          <w:shd w:val="clear" w:color="auto" w:fill="FFFFFF"/>
        </w:rPr>
        <w:t>.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323345" w:rsidRPr="00323345">
        <w:rPr>
          <w:rFonts w:ascii="Tahoma" w:eastAsia="Times New Roman" w:hAnsi="Tahoma" w:cs="Tahoma"/>
          <w:color w:val="000000"/>
          <w:sz w:val="11"/>
          <w:szCs w:val="11"/>
        </w:rPr>
        <w:br/>
      </w:r>
      <w:r w:rsidR="00951567"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Full Stack Web Developer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(</w:t>
      </w:r>
      <w:r w:rsidR="00951567"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LAMP +J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)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4"/>
          <w:szCs w:val="14"/>
        </w:rPr>
        <w:br/>
      </w:r>
      <w:r w:rsidR="00951567"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L</w:t>
      </w:r>
      <w:r w:rsidR="00720717"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inux</w:t>
      </w:r>
      <w:r w:rsidR="00951567"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/Apache/MySQL/PHP and Python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4"/>
          <w:szCs w:val="14"/>
        </w:rPr>
        <w:br/>
      </w:r>
      <w:r w:rsidR="0069336C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JavaScript, JQuery and Laravel MVC framework</w:t>
      </w:r>
    </w:p>
    <w:p w:rsidR="00323345" w:rsidRPr="00323345" w:rsidRDefault="00951567" w:rsidP="00323345">
      <w:pPr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4B3F9E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HTML/CSS and Twitter Bootstrap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4"/>
          <w:szCs w:val="14"/>
        </w:rPr>
        <w:br/>
      </w:r>
    </w:p>
    <w:p w:rsidR="00323345" w:rsidRPr="00323345" w:rsidRDefault="004B3F9E" w:rsidP="0032334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  <w:r w:rsidRPr="00A05F6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Professional Experience</w:t>
      </w:r>
    </w:p>
    <w:p w:rsidR="00720717" w:rsidRPr="004B3F9E" w:rsidRDefault="00720717" w:rsidP="00323345">
      <w:pPr>
        <w:spacing w:after="0" w:line="240" w:lineRule="auto"/>
        <w:rPr>
          <w:rFonts w:ascii="Tahoma" w:eastAsia="Times New Roman" w:hAnsi="Tahoma" w:cs="Tahoma"/>
          <w:iCs/>
          <w:color w:val="000000"/>
          <w:sz w:val="16"/>
          <w:szCs w:val="16"/>
        </w:rPr>
      </w:pPr>
      <w:r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Director of Investment Research and Technology</w:t>
      </w:r>
      <w:r w:rsidRPr="004B3F9E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</w:t>
      </w:r>
      <w:r w:rsidR="00323345" w:rsidRPr="00323345">
        <w:rPr>
          <w:rFonts w:ascii="Tahoma" w:eastAsia="Times New Roman" w:hAnsi="Tahoma" w:cs="Tahoma"/>
          <w:iCs/>
          <w:color w:val="000000"/>
          <w:sz w:val="16"/>
          <w:szCs w:val="16"/>
        </w:rPr>
        <w:t>(</w:t>
      </w:r>
      <w:r w:rsidRPr="004B3F9E">
        <w:rPr>
          <w:rFonts w:ascii="Tahoma" w:eastAsia="Times New Roman" w:hAnsi="Tahoma" w:cs="Tahoma"/>
          <w:iCs/>
          <w:color w:val="000000"/>
          <w:sz w:val="16"/>
          <w:szCs w:val="16"/>
        </w:rPr>
        <w:t>October 2013 to Present</w:t>
      </w:r>
      <w:r w:rsidR="00323345" w:rsidRPr="00323345">
        <w:rPr>
          <w:rFonts w:ascii="Tahoma" w:eastAsia="Times New Roman" w:hAnsi="Tahoma" w:cs="Tahoma"/>
          <w:iCs/>
          <w:color w:val="000000"/>
          <w:sz w:val="16"/>
          <w:szCs w:val="16"/>
        </w:rPr>
        <w:t>)</w:t>
      </w:r>
    </w:p>
    <w:p w:rsidR="00323345" w:rsidRPr="00323345" w:rsidRDefault="00720717" w:rsidP="00323345">
      <w:pPr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</w:rPr>
      </w:pPr>
      <w:r w:rsidRPr="004B3F9E">
        <w:rPr>
          <w:rFonts w:ascii="Tahoma" w:eastAsia="Times New Roman" w:hAnsi="Tahoma" w:cs="Tahoma"/>
          <w:iCs/>
          <w:color w:val="000000"/>
          <w:sz w:val="16"/>
          <w:szCs w:val="16"/>
        </w:rPr>
        <w:t>SRI Diversified Capital, LLC. San Antonio, TX.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Commodity Futures Trader</w:t>
      </w:r>
      <w:r w:rsidR="00DA68EE"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- Independent 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(20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>06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 xml:space="preserve"> to 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>2013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)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Chicago, IL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Summer Analyst </w:t>
      </w:r>
      <w:r w:rsidR="00DA68EE"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-</w:t>
      </w:r>
      <w:r w:rsidRPr="004B3F9E">
        <w:rPr>
          <w:rFonts w:ascii="Tahoma" w:eastAsia="Times New Roman" w:hAnsi="Tahoma" w:cs="Tahoma"/>
          <w:bCs/>
          <w:color w:val="000000"/>
          <w:sz w:val="16"/>
          <w:szCs w:val="16"/>
        </w:rPr>
        <w:t>Goldman Sachs</w:t>
      </w:r>
      <w:r w:rsidR="00323345"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 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(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>summer 200</w:t>
      </w:r>
      <w:r w:rsidR="006A217D" w:rsidRPr="004B3F9E">
        <w:rPr>
          <w:rFonts w:ascii="Tahoma" w:eastAsia="Times New Roman" w:hAnsi="Tahoma" w:cs="Tahoma"/>
          <w:color w:val="000000"/>
          <w:sz w:val="16"/>
          <w:szCs w:val="16"/>
        </w:rPr>
        <w:t>6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)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New York City, NY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Equity HFT</w:t>
      </w:r>
      <w:r w:rsidR="00DA68EE"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-</w:t>
      </w:r>
      <w:r w:rsidR="006973BA" w:rsidRPr="004B3F9E">
        <w:rPr>
          <w:rFonts w:ascii="Tahoma" w:eastAsia="Times New Roman" w:hAnsi="Tahoma" w:cs="Tahoma"/>
          <w:bCs/>
          <w:color w:val="000000"/>
          <w:sz w:val="16"/>
          <w:szCs w:val="16"/>
        </w:rPr>
        <w:t>Independent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(</w:t>
      </w:r>
      <w:r w:rsidR="00DA68EE" w:rsidRPr="004B3F9E">
        <w:rPr>
          <w:rFonts w:ascii="Tahoma" w:eastAsia="Times New Roman" w:hAnsi="Tahoma" w:cs="Tahoma"/>
          <w:color w:val="000000"/>
          <w:sz w:val="16"/>
          <w:szCs w:val="16"/>
        </w:rPr>
        <w:t>1999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 xml:space="preserve"> to 200</w:t>
      </w:r>
      <w:r w:rsidR="00DA68EE" w:rsidRPr="004B3F9E">
        <w:rPr>
          <w:rFonts w:ascii="Tahoma" w:eastAsia="Times New Roman" w:hAnsi="Tahoma" w:cs="Tahoma"/>
          <w:color w:val="000000"/>
          <w:sz w:val="16"/>
          <w:szCs w:val="16"/>
        </w:rPr>
        <w:t>6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)</w:t>
      </w:r>
      <w:r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San Antonio, TX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6B2485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Branch Manager</w:t>
      </w:r>
      <w:r w:rsidR="00323345" w:rsidRPr="004B3F9E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="006B2485">
        <w:rPr>
          <w:rFonts w:ascii="Tahoma" w:eastAsia="Times New Roman" w:hAnsi="Tahoma" w:cs="Tahoma"/>
          <w:color w:val="000000"/>
          <w:sz w:val="16"/>
          <w:szCs w:val="16"/>
        </w:rPr>
        <w:t>Paulson Investment Co.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(</w:t>
      </w:r>
      <w:r w:rsidR="00DA68EE" w:rsidRPr="004B3F9E">
        <w:rPr>
          <w:rFonts w:ascii="Tahoma" w:eastAsia="Times New Roman" w:hAnsi="Tahoma" w:cs="Tahoma"/>
          <w:color w:val="000000"/>
          <w:sz w:val="16"/>
          <w:szCs w:val="16"/>
        </w:rPr>
        <w:t>1996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 xml:space="preserve"> to </w:t>
      </w:r>
      <w:r w:rsidR="00DA68EE" w:rsidRPr="004B3F9E">
        <w:rPr>
          <w:rFonts w:ascii="Tahoma" w:eastAsia="Times New Roman" w:hAnsi="Tahoma" w:cs="Tahoma"/>
          <w:color w:val="000000"/>
          <w:sz w:val="16"/>
          <w:szCs w:val="16"/>
        </w:rPr>
        <w:t>1999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t>)</w:t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6B2485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Investment Representative</w:t>
      </w:r>
      <w:r w:rsidR="006973BA" w:rsidRPr="004B3F9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="006B2485">
        <w:rPr>
          <w:rFonts w:ascii="Tahoma" w:eastAsia="Times New Roman" w:hAnsi="Tahoma" w:cs="Tahoma"/>
          <w:color w:val="000000"/>
          <w:sz w:val="16"/>
          <w:szCs w:val="16"/>
        </w:rPr>
        <w:t>George E. Dullnig and Co.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="006973BA" w:rsidRPr="00323345">
        <w:rPr>
          <w:rFonts w:ascii="Tahoma" w:eastAsia="Times New Roman" w:hAnsi="Tahoma" w:cs="Tahoma"/>
          <w:color w:val="000000"/>
          <w:sz w:val="16"/>
          <w:szCs w:val="16"/>
        </w:rPr>
        <w:t>(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>1994</w:t>
      </w:r>
      <w:r w:rsidR="006973BA" w:rsidRPr="00323345">
        <w:rPr>
          <w:rFonts w:ascii="Tahoma" w:eastAsia="Times New Roman" w:hAnsi="Tahoma" w:cs="Tahoma"/>
          <w:color w:val="000000"/>
          <w:sz w:val="16"/>
          <w:szCs w:val="16"/>
        </w:rPr>
        <w:t xml:space="preserve"> to </w:t>
      </w:r>
      <w:r w:rsidR="006973BA" w:rsidRPr="004B3F9E">
        <w:rPr>
          <w:rFonts w:ascii="Tahoma" w:eastAsia="Times New Roman" w:hAnsi="Tahoma" w:cs="Tahoma"/>
          <w:color w:val="000000"/>
          <w:sz w:val="16"/>
          <w:szCs w:val="16"/>
        </w:rPr>
        <w:t>1996</w:t>
      </w:r>
      <w:r w:rsidR="006973BA" w:rsidRPr="00323345">
        <w:rPr>
          <w:rFonts w:ascii="Tahoma" w:eastAsia="Times New Roman" w:hAnsi="Tahoma" w:cs="Tahoma"/>
          <w:color w:val="000000"/>
          <w:sz w:val="16"/>
          <w:szCs w:val="16"/>
        </w:rPr>
        <w:t>)</w:t>
      </w:r>
      <w:r w:rsidR="006973BA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323345" w:rsidRPr="00323345">
        <w:rPr>
          <w:rFonts w:ascii="Tahoma" w:eastAsia="Times New Roman" w:hAnsi="Tahoma" w:cs="Tahoma"/>
          <w:color w:val="000000"/>
          <w:sz w:val="14"/>
          <w:szCs w:val="14"/>
        </w:rPr>
        <w:br/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I am currently 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enrolled 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in </w:t>
      </w:r>
      <w:r w:rsidR="00DA68EE" w:rsidRPr="00943FFD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Codeup's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immersive 12-week Web Developer/Programming bootca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mp for working professionals </w:t>
      </w:r>
      <w:r w:rsidR="00DC7D29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(Graduation Nov. </w:t>
      </w:r>
      <w:r w:rsidR="004A4F71">
        <w:rPr>
          <w:rFonts w:ascii="Tahoma" w:hAnsi="Tahoma" w:cs="Tahoma"/>
          <w:color w:val="333333"/>
          <w:sz w:val="16"/>
          <w:szCs w:val="16"/>
          <w:shd w:val="clear" w:color="auto" w:fill="FFFFFF"/>
        </w:rPr>
        <w:t>5</w:t>
      </w:r>
      <w:r w:rsidR="00DC7D29" w:rsidRPr="00A05F6E">
        <w:rPr>
          <w:rFonts w:ascii="Tahoma" w:hAnsi="Tahoma" w:cs="Tahoma"/>
          <w:color w:val="333333"/>
          <w:sz w:val="16"/>
          <w:szCs w:val="16"/>
          <w:shd w:val="clear" w:color="auto" w:fill="FFFFFF"/>
          <w:vertAlign w:val="superscript"/>
        </w:rPr>
        <w:t>th</w:t>
      </w:r>
      <w:r w:rsidR="00DC7D29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2014)</w:t>
      </w:r>
      <w:r w:rsidR="00DF36A0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. 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This is an intense program to 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>develop skills with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the LAMP +J stack: Linux/Apache/MySQL/PHP and client-side JavaScript using the Laravel framework and jQuery. The curriculum goes way beyond the parameters of traditional computer science degrees through </w:t>
      </w:r>
      <w:r w:rsidR="00DA68EE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interaction with the local tech community to create new business web application</w:t>
      </w:r>
      <w:r w:rsidR="00DF36A0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s</w:t>
      </w:r>
      <w:r w:rsidR="00DA68EE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 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via the capstone project. In this way, Codeup </w:t>
      </w:r>
      <w:r w:rsidR="00DC7D29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>graduates</w:t>
      </w:r>
      <w:r w:rsidR="00DA68E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become seasoned "plug and play" problem solvers who </w:t>
      </w:r>
      <w:r w:rsidR="00DA68EE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bring value added solutions to solve company specific issues.</w:t>
      </w:r>
      <w:r w:rsidR="00323345" w:rsidRPr="00323345">
        <w:rPr>
          <w:rFonts w:ascii="Tahoma" w:eastAsia="Times New Roman" w:hAnsi="Tahoma" w:cs="Tahoma"/>
          <w:b/>
          <w:color w:val="000000"/>
          <w:sz w:val="16"/>
          <w:szCs w:val="16"/>
        </w:rPr>
        <w:br/>
      </w:r>
      <w:r w:rsidR="00323345" w:rsidRPr="00323345">
        <w:rPr>
          <w:rFonts w:ascii="Tahoma" w:eastAsia="Times New Roman" w:hAnsi="Tahoma" w:cs="Tahoma"/>
          <w:color w:val="000000"/>
          <w:sz w:val="16"/>
          <w:szCs w:val="16"/>
        </w:rPr>
        <w:br/>
      </w:r>
      <w:r w:rsidR="00DC7D29" w:rsidRPr="00A05F6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Achievements and</w:t>
      </w:r>
      <w:r w:rsidR="00323345" w:rsidRPr="00323345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 Leadership</w:t>
      </w:r>
      <w:r w:rsidR="00323345" w:rsidRPr="00323345">
        <w:rPr>
          <w:rFonts w:ascii="Tahoma" w:eastAsia="Times New Roman" w:hAnsi="Tahoma" w:cs="Tahoma"/>
          <w:color w:val="000000"/>
          <w:sz w:val="11"/>
          <w:szCs w:val="11"/>
        </w:rPr>
        <w:br/>
      </w:r>
      <w:r w:rsidR="00323345" w:rsidRPr="00323345">
        <w:rPr>
          <w:rFonts w:ascii="Tahoma" w:eastAsia="Times New Roman" w:hAnsi="Tahoma" w:cs="Tahoma"/>
          <w:color w:val="000000"/>
          <w:sz w:val="11"/>
          <w:szCs w:val="11"/>
        </w:rPr>
        <w:br/>
      </w:r>
    </w:p>
    <w:p w:rsidR="00323345" w:rsidRPr="00323345" w:rsidRDefault="00DC7D29" w:rsidP="00323345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b/>
          <w:color w:val="000000"/>
          <w:sz w:val="16"/>
          <w:szCs w:val="16"/>
        </w:rPr>
      </w:pP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As the lead investment and technology analyst for SRI 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Diversified 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>Capital, I have consulted on m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>ultiple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drilling projects </w:t>
      </w:r>
      <w:r w:rsidR="004B3F9E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within the Eagle Ford Shale development. 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One of my primary responsibilities is to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create unique risk management solutions for the energy sector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. This eventually led to an extension of profit opportunities of insurance beyond gap coverage of liabilities. Specifically I was able to draw on my expertise in risk transfer and distribution through the futures markets to </w:t>
      </w:r>
      <w:r w:rsidR="00576211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engineer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 the framework of a new exchange traded derivatives platform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for the reinsurance industry known as the ILF index.</w:t>
      </w:r>
    </w:p>
    <w:p w:rsidR="00DC7D29" w:rsidRPr="00A05F6E" w:rsidRDefault="00DC7D29" w:rsidP="00323345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16"/>
          <w:szCs w:val="16"/>
        </w:rPr>
      </w:pP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Having traded across the entire spectrum of the capital markets, IMHO The Russell 2000 Index futures (symbol #TF) offer the best combination of volatility, liquidity and low trading costs available. It is no coincidence then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my primary strategy </w:t>
      </w:r>
      <w:r w:rsidR="004B3F9E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is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 a long/short option strategy </w:t>
      </w:r>
      <w:r w:rsidRPr="0069336C">
        <w:rPr>
          <w:rFonts w:ascii="Tahoma" w:hAnsi="Tahoma" w:cs="Tahoma"/>
          <w:color w:val="333333"/>
          <w:sz w:val="16"/>
          <w:szCs w:val="16"/>
          <w:shd w:val="clear" w:color="auto" w:fill="FFFFFF"/>
        </w:rPr>
        <w:t>focused around monthly expiration cycles of the #TF front month contract.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To a lesser extent, I deployed capital around the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WTI Crud</w:t>
      </w:r>
      <w:r w:rsidR="00DF36A0"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e futures</w:t>
      </w:r>
      <w:r w:rsidR="00DF36A0"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(symbol CL). This was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a volatility based system taking its entry and exits from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my proprietary blend of the S&amp;P VIX and the crude oil VIX.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When the opportunities were right, I took less frequent positions against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wheat, corn, soybeans, copper, 10 year Treasuries, S&amp;P 500, Nasdaq and the Dow Jones.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My option strategies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combined put and call spreads, butterflies, strip, strap, strangles, and calendar spreads.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Options consistently gave added flexibility to my directional trading as well as valuable </w:t>
      </w:r>
      <w:r w:rsidRPr="0069336C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risk management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to my overall core positions. </w:t>
      </w:r>
    </w:p>
    <w:p w:rsidR="00323345" w:rsidRPr="00323345" w:rsidRDefault="006973BA" w:rsidP="00323345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b/>
          <w:color w:val="000000"/>
          <w:sz w:val="16"/>
          <w:szCs w:val="16"/>
        </w:rPr>
      </w:pPr>
      <w:r w:rsidRPr="00A05F6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Chosen by Goldma</w:t>
      </w:r>
      <w:r w:rsidR="00DF36A0" w:rsidRPr="00A05F6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n Sachs </w:t>
      </w:r>
      <w:r w:rsidR="00DF36A0" w:rsidRPr="0069336C">
        <w:rPr>
          <w:rFonts w:ascii="Tahoma" w:eastAsia="Times New Roman" w:hAnsi="Tahoma" w:cs="Tahoma"/>
          <w:bCs/>
          <w:color w:val="000000"/>
          <w:sz w:val="16"/>
          <w:szCs w:val="16"/>
        </w:rPr>
        <w:t>for the Summer Analyst Program</w:t>
      </w:r>
      <w:r w:rsidR="00DF36A0" w:rsidRPr="00A05F6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</w:t>
      </w:r>
      <w:r w:rsidR="00DF36A0" w:rsidRPr="00A05F6E">
        <w:rPr>
          <w:rFonts w:ascii="Tahoma" w:eastAsia="Times New Roman" w:hAnsi="Tahoma" w:cs="Tahoma"/>
          <w:color w:val="000000"/>
          <w:sz w:val="16"/>
          <w:szCs w:val="16"/>
        </w:rPr>
        <w:t xml:space="preserve">was the direct result of graduating from Kent State’s prestigious master’s program in Financial Engineering.   </w:t>
      </w:r>
      <w:r w:rsidR="00DF36A0" w:rsidRPr="0069336C">
        <w:rPr>
          <w:rFonts w:ascii="Tahoma" w:eastAsia="Times New Roman" w:hAnsi="Tahoma" w:cs="Tahoma"/>
          <w:color w:val="000000"/>
          <w:sz w:val="16"/>
          <w:szCs w:val="16"/>
        </w:rPr>
        <w:t>My primary team assignments were to</w:t>
      </w:r>
      <w:r w:rsidR="0069336C">
        <w:rPr>
          <w:rFonts w:ascii="Tahoma" w:eastAsia="Times New Roman" w:hAnsi="Tahoma" w:cs="Tahoma"/>
          <w:b/>
          <w:color w:val="000000"/>
          <w:sz w:val="16"/>
          <w:szCs w:val="16"/>
        </w:rPr>
        <w:t xml:space="preserve"> manage risk </w:t>
      </w:r>
      <w:r w:rsidR="0069336C" w:rsidRPr="0069336C">
        <w:rPr>
          <w:rFonts w:ascii="Tahoma" w:eastAsia="Times New Roman" w:hAnsi="Tahoma" w:cs="Tahoma"/>
          <w:color w:val="000000"/>
          <w:sz w:val="16"/>
          <w:szCs w:val="16"/>
        </w:rPr>
        <w:t>through bundling</w:t>
      </w:r>
      <w:r w:rsidR="00DF36A0" w:rsidRPr="0069336C">
        <w:rPr>
          <w:rFonts w:ascii="Tahoma" w:eastAsia="Times New Roman" w:hAnsi="Tahoma" w:cs="Tahoma"/>
          <w:color w:val="000000"/>
          <w:sz w:val="16"/>
          <w:szCs w:val="16"/>
        </w:rPr>
        <w:t xml:space="preserve"> single name</w:t>
      </w:r>
      <w:r w:rsidRPr="0069336C">
        <w:rPr>
          <w:rFonts w:ascii="Tahoma" w:eastAsia="Times New Roman" w:hAnsi="Tahoma" w:cs="Tahoma"/>
          <w:color w:val="000000"/>
          <w:sz w:val="16"/>
          <w:szCs w:val="16"/>
        </w:rPr>
        <w:t xml:space="preserve"> issuances of</w:t>
      </w:r>
      <w:r w:rsidR="00DF36A0" w:rsidRPr="0069336C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="005E25D5" w:rsidRPr="0069336C">
        <w:rPr>
          <w:rFonts w:ascii="Tahoma" w:eastAsia="Times New Roman" w:hAnsi="Tahoma" w:cs="Tahoma"/>
          <w:color w:val="000000"/>
          <w:sz w:val="16"/>
          <w:szCs w:val="16"/>
        </w:rPr>
        <w:t>corporate</w:t>
      </w:r>
      <w:r w:rsidR="00DF36A0" w:rsidRPr="0069336C">
        <w:rPr>
          <w:rFonts w:ascii="Tahoma" w:eastAsia="Times New Roman" w:hAnsi="Tahoma" w:cs="Tahoma"/>
          <w:color w:val="000000"/>
          <w:sz w:val="16"/>
          <w:szCs w:val="16"/>
        </w:rPr>
        <w:t xml:space="preserve"> debt</w:t>
      </w:r>
      <w:r w:rsidR="00DF36A0" w:rsidRPr="00A05F6E">
        <w:rPr>
          <w:rFonts w:ascii="Tahoma" w:eastAsia="Times New Roman" w:hAnsi="Tahoma" w:cs="Tahoma"/>
          <w:color w:val="000000"/>
          <w:sz w:val="16"/>
          <w:szCs w:val="16"/>
        </w:rPr>
        <w:t xml:space="preserve"> within the Bank</w:t>
      </w:r>
      <w:r w:rsidRPr="00A05F6E">
        <w:rPr>
          <w:rFonts w:ascii="Tahoma" w:eastAsia="Times New Roman" w:hAnsi="Tahoma" w:cs="Tahoma"/>
          <w:color w:val="000000"/>
          <w:sz w:val="16"/>
          <w:szCs w:val="16"/>
        </w:rPr>
        <w:t>’</w:t>
      </w:r>
      <w:r w:rsidR="00DF36A0" w:rsidRPr="00A05F6E">
        <w:rPr>
          <w:rFonts w:ascii="Tahoma" w:eastAsia="Times New Roman" w:hAnsi="Tahoma" w:cs="Tahoma"/>
          <w:color w:val="000000"/>
          <w:sz w:val="16"/>
          <w:szCs w:val="16"/>
        </w:rPr>
        <w:t xml:space="preserve">s inventory for </w:t>
      </w:r>
      <w:r w:rsidRPr="00A05F6E">
        <w:rPr>
          <w:rFonts w:ascii="Tahoma" w:eastAsia="Times New Roman" w:hAnsi="Tahoma" w:cs="Tahoma"/>
          <w:color w:val="000000"/>
          <w:sz w:val="16"/>
          <w:szCs w:val="16"/>
        </w:rPr>
        <w:t>modeling prices of offsetting CDS</w:t>
      </w:r>
      <w:r w:rsidR="00D17975" w:rsidRPr="00A05F6E">
        <w:rPr>
          <w:rFonts w:ascii="Tahoma" w:eastAsia="Times New Roman" w:hAnsi="Tahoma" w:cs="Tahoma"/>
          <w:color w:val="000000"/>
          <w:sz w:val="16"/>
          <w:szCs w:val="16"/>
        </w:rPr>
        <w:t xml:space="preserve"> positions</w:t>
      </w:r>
      <w:r w:rsidRPr="00A05F6E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Pr="00A05F6E">
        <w:rPr>
          <w:rFonts w:ascii="Tahoma" w:eastAsia="Times New Roman" w:hAnsi="Tahoma" w:cs="Tahoma"/>
          <w:b/>
          <w:color w:val="000000"/>
          <w:sz w:val="16"/>
          <w:szCs w:val="16"/>
        </w:rPr>
        <w:t xml:space="preserve">critical to the structured product trading desk.  </w:t>
      </w:r>
    </w:p>
    <w:p w:rsidR="00576211" w:rsidRPr="00323345" w:rsidRDefault="00576211" w:rsidP="00576211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b/>
          <w:color w:val="000000"/>
          <w:sz w:val="16"/>
          <w:szCs w:val="16"/>
        </w:rPr>
      </w:pP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The opportunity to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open a new regional branch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of Paulson Investment Co in San Antonio, TX was a rare chance for a young professional to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gain valuable management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experience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.  I obtained the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>Series 7, 24 and 63 licenses</w:t>
      </w:r>
      <w:r w:rsidRPr="00A05F6E"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which gave me authority 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to supervise the growth and compliance </w:t>
      </w:r>
      <w:r w:rsidRPr="0069336C">
        <w:rPr>
          <w:rFonts w:ascii="Tahoma" w:hAnsi="Tahoma" w:cs="Tahoma"/>
          <w:color w:val="333333"/>
          <w:sz w:val="16"/>
          <w:szCs w:val="16"/>
          <w:shd w:val="clear" w:color="auto" w:fill="FFFFFF"/>
        </w:rPr>
        <w:t>of over 300 new accounts, with assets under management of over $50 million.</w:t>
      </w:r>
      <w:r w:rsidRPr="00A05F6E">
        <w:rPr>
          <w:rFonts w:ascii="Tahoma" w:hAnsi="Tahoma" w:cs="Tahoma"/>
          <w:b/>
          <w:color w:val="333333"/>
          <w:sz w:val="16"/>
          <w:szCs w:val="16"/>
          <w:shd w:val="clear" w:color="auto" w:fill="FFFFFF"/>
        </w:rPr>
        <w:t xml:space="preserve">  </w:t>
      </w:r>
    </w:p>
    <w:p w:rsidR="00323345" w:rsidRPr="00323345" w:rsidRDefault="00323345" w:rsidP="00323345">
      <w:pPr>
        <w:spacing w:after="0" w:line="240" w:lineRule="auto"/>
        <w:rPr>
          <w:rFonts w:ascii="Tahoma" w:eastAsia="Times New Roman" w:hAnsi="Tahoma" w:cs="Tahoma"/>
          <w:b/>
          <w:color w:val="000000"/>
          <w:sz w:val="11"/>
          <w:szCs w:val="11"/>
        </w:rPr>
      </w:pPr>
    </w:p>
    <w:p w:rsidR="00323345" w:rsidRPr="00323345" w:rsidRDefault="00323345" w:rsidP="00323345">
      <w:pPr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</w:rPr>
      </w:pPr>
    </w:p>
    <w:p w:rsidR="00323345" w:rsidRPr="004A4F71" w:rsidRDefault="00323345" w:rsidP="00323345">
      <w:pPr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4A4F71">
        <w:rPr>
          <w:rFonts w:ascii="Tahoma" w:eastAsia="Times New Roman" w:hAnsi="Tahoma" w:cs="Tahoma"/>
          <w:b/>
          <w:bCs/>
          <w:color w:val="000000"/>
          <w:sz w:val="14"/>
          <w:szCs w:val="14"/>
          <w:u w:val="single"/>
        </w:rPr>
        <w:t>EDUCATION</w:t>
      </w:r>
    </w:p>
    <w:p w:rsidR="004A4F71" w:rsidRPr="004A4F71" w:rsidRDefault="00C87BD6" w:rsidP="00323345">
      <w:pPr>
        <w:spacing w:after="0" w:line="240" w:lineRule="auto"/>
        <w:rPr>
          <w:rFonts w:ascii="Tahoma" w:eastAsia="Times New Roman" w:hAnsi="Tahoma" w:cs="Tahoma"/>
          <w:bCs/>
          <w:color w:val="000000"/>
          <w:sz w:val="14"/>
          <w:szCs w:val="14"/>
        </w:rPr>
      </w:pPr>
      <w:r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Codeup, </w:t>
      </w:r>
      <w:r w:rsidR="004A4F71">
        <w:rPr>
          <w:rFonts w:ascii="Tahoma" w:eastAsia="Times New Roman" w:hAnsi="Tahoma" w:cs="Tahoma"/>
          <w:bCs/>
          <w:color w:val="000000"/>
          <w:sz w:val="14"/>
          <w:szCs w:val="14"/>
        </w:rPr>
        <w:t>San Antonio, TX 2014</w:t>
      </w:r>
    </w:p>
    <w:p w:rsidR="00A05F6E" w:rsidRPr="004A4F71" w:rsidRDefault="0069336C" w:rsidP="00323345">
      <w:pPr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M.S.</w:t>
      </w:r>
      <w:r w:rsidR="006A217D"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Financial Engineering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Kent State University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Kent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OH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>, 200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6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M.B.A.</w:t>
      </w:r>
      <w:r w:rsidR="00323345"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</w:t>
      </w:r>
      <w:r w:rsidR="006A217D"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Finance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University of Texas at San Antonio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San Antonio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, 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TX</w:t>
      </w:r>
      <w:r w:rsidR="00323345" w:rsidRPr="004A4F71">
        <w:rPr>
          <w:rFonts w:ascii="Tahoma" w:eastAsia="Times New Roman" w:hAnsi="Tahoma" w:cs="Tahoma"/>
          <w:color w:val="000000"/>
          <w:sz w:val="14"/>
          <w:szCs w:val="14"/>
        </w:rPr>
        <w:t>, 200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5</w:t>
      </w:r>
    </w:p>
    <w:p w:rsidR="00323345" w:rsidRPr="004A4F71" w:rsidRDefault="0069336C" w:rsidP="00323345">
      <w:pPr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B.B.A.</w:t>
      </w:r>
      <w:r w:rsidR="006A217D" w:rsidRPr="004A4F71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Marketing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>, Texas A&amp;M University, College Station, TX, 1994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br/>
      </w:r>
      <w:r w:rsidR="006A217D" w:rsidRPr="004A4F71">
        <w:rPr>
          <w:rFonts w:ascii="Tahoma" w:eastAsia="Times New Roman" w:hAnsi="Tahoma" w:cs="Tahoma"/>
          <w:b/>
          <w:color w:val="000000"/>
          <w:sz w:val="14"/>
          <w:szCs w:val="14"/>
        </w:rPr>
        <w:t>Chartered Financial Analyst (CFA) Program</w:t>
      </w:r>
      <w:r w:rsidR="006A217D" w:rsidRPr="004A4F71">
        <w:rPr>
          <w:rFonts w:ascii="Tahoma" w:eastAsia="Times New Roman" w:hAnsi="Tahoma" w:cs="Tahoma"/>
          <w:color w:val="000000"/>
          <w:sz w:val="14"/>
          <w:szCs w:val="14"/>
        </w:rPr>
        <w:t xml:space="preserve"> completed levels 1 and II</w:t>
      </w:r>
    </w:p>
    <w:sectPr w:rsidR="00323345" w:rsidRPr="004A4F71" w:rsidSect="0060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26A" w:rsidRDefault="00B8326A" w:rsidP="00E651D1">
      <w:pPr>
        <w:spacing w:after="0" w:line="240" w:lineRule="auto"/>
      </w:pPr>
      <w:r>
        <w:separator/>
      </w:r>
    </w:p>
  </w:endnote>
  <w:endnote w:type="continuationSeparator" w:id="0">
    <w:p w:rsidR="00B8326A" w:rsidRDefault="00B8326A" w:rsidP="00E6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26A" w:rsidRDefault="00B8326A" w:rsidP="00E651D1">
      <w:pPr>
        <w:spacing w:after="0" w:line="240" w:lineRule="auto"/>
      </w:pPr>
      <w:r>
        <w:separator/>
      </w:r>
    </w:p>
  </w:footnote>
  <w:footnote w:type="continuationSeparator" w:id="0">
    <w:p w:rsidR="00B8326A" w:rsidRDefault="00B8326A" w:rsidP="00E65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248"/>
    <w:multiLevelType w:val="multilevel"/>
    <w:tmpl w:val="9E42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8572FD"/>
    <w:multiLevelType w:val="multilevel"/>
    <w:tmpl w:val="657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7E1AED"/>
    <w:multiLevelType w:val="multilevel"/>
    <w:tmpl w:val="569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345"/>
    <w:rsid w:val="00003B72"/>
    <w:rsid w:val="000759D9"/>
    <w:rsid w:val="002B7105"/>
    <w:rsid w:val="002E7A9E"/>
    <w:rsid w:val="00323345"/>
    <w:rsid w:val="004454BB"/>
    <w:rsid w:val="004A4F71"/>
    <w:rsid w:val="004B3F9E"/>
    <w:rsid w:val="00576211"/>
    <w:rsid w:val="005E25D5"/>
    <w:rsid w:val="00600B8B"/>
    <w:rsid w:val="0069336C"/>
    <w:rsid w:val="006973BA"/>
    <w:rsid w:val="006A217D"/>
    <w:rsid w:val="006B2485"/>
    <w:rsid w:val="00720717"/>
    <w:rsid w:val="00817624"/>
    <w:rsid w:val="00943FFD"/>
    <w:rsid w:val="00951567"/>
    <w:rsid w:val="00A05F6E"/>
    <w:rsid w:val="00AC58FA"/>
    <w:rsid w:val="00B23C5A"/>
    <w:rsid w:val="00B8326A"/>
    <w:rsid w:val="00C17A0F"/>
    <w:rsid w:val="00C35D98"/>
    <w:rsid w:val="00C87BD6"/>
    <w:rsid w:val="00D17975"/>
    <w:rsid w:val="00DA68EE"/>
    <w:rsid w:val="00DC7D29"/>
    <w:rsid w:val="00DF36A0"/>
    <w:rsid w:val="00E651D1"/>
    <w:rsid w:val="00EA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3345"/>
  </w:style>
  <w:style w:type="character" w:styleId="Hyperlink">
    <w:name w:val="Hyperlink"/>
    <w:basedOn w:val="DefaultParagraphFont"/>
    <w:uiPriority w:val="99"/>
    <w:unhideWhenUsed/>
    <w:rsid w:val="003233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1D1"/>
  </w:style>
  <w:style w:type="paragraph" w:styleId="Footer">
    <w:name w:val="footer"/>
    <w:basedOn w:val="Normal"/>
    <w:link w:val="FooterChar"/>
    <w:uiPriority w:val="99"/>
    <w:semiHidden/>
    <w:unhideWhenUsed/>
    <w:rsid w:val="00E6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ytrad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F7CC-A2A1-42D9-84FB-FD81155E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10</cp:revision>
  <dcterms:created xsi:type="dcterms:W3CDTF">2014-09-17T00:58:00Z</dcterms:created>
  <dcterms:modified xsi:type="dcterms:W3CDTF">2014-10-30T10:36:00Z</dcterms:modified>
</cp:coreProperties>
</file>