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13-PO-LO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Wow, what a great looking cover sheet.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51615-935-900007</w:t>
            </w:r>
          </w:p>
        </w:tc>
        <w:tc>
          <w:tcPr>
            <w:tcW w:type="dxa" w:w="2520"/>
          </w:tcPr>
          <w:p>
            <w:r>
              <w:t>30-30-5226000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$3.10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51250-935-900007</w:t>
            </w:r>
          </w:p>
        </w:tc>
        <w:tc>
          <w:tcPr>
            <w:tcW w:type="dxa" w:w="2520"/>
          </w:tcPr>
          <w:p>
            <w:r>
              <w:t>30-30-5226000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$26.00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52122-935-900007</w:t>
            </w:r>
          </w:p>
        </w:tc>
        <w:tc>
          <w:tcPr>
            <w:tcW w:type="dxa" w:w="2520"/>
          </w:tcPr>
          <w:p>
            <w:r>
              <w:t>30-30-5226000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$11.10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$40.20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