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D8C"/>
          <w:sz w:val="36"/>
          <w:szCs w:val="36"/>
        </w:rPr>
        <w:t xml:space="preserve">Automações de Relacionamento — Pós‑Vendas e Vendas</w:t>
      </w:r>
    </w:p>
    <w:p>
      <w:pPr>
        <w:spacing w:after="40" w:line="276"/>
      </w:pPr>
      <w:r>
        <w:rPr>
          <w:i/>
          <w:iCs/>
          <w:color w:val="667085"/>
          <w:sz w:val="21"/>
          <w:szCs w:val="21"/>
        </w:rPr>
        <w:t xml:space="preserve">Especificação funcional e técnica · Gerenciador de Canais (ticketz) · Grupo Francauto</w:t>
      </w:r>
    </w:p>
    <w:p>
      <w:pPr>
        <w:spacing w:after="200" w:line="276"/>
      </w:pPr>
      <w:r>
        <w:rPr>
          <w:color w:val="667085"/>
          <w:sz w:val="21"/>
          <w:szCs w:val="21"/>
        </w:rPr>
        <w:t xml:space="preserve">Versão 1 — 29/10/2026</w:t>
      </w:r>
    </w:p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1. Visão geral</w:t>
      </w:r>
    </w:p>
    <w:p>
      <w:pPr>
        <w:spacing w:after="120" w:line="276"/>
      </w:pPr>
      <w:r>
        <w:rPr>
          <w:sz w:val="21"/>
          <w:szCs w:val="21"/>
        </w:rPr>
        <w:t xml:space="preserve">Jornadas automáticas de mensagens no WhatsApp (canal oficial), disparadas por eventos do seu API interno: encerramento de O.S., entrega de veículo e visita sem fechamento. Cada jornada tem passos agendados (1h, 24h, 7, 20, 30 e 365 dias) que enviam um template aprovado na Meta; alguns passos coletam uma nota (1–5) por botões e ramificam o fluxo (notas 1–4 vão para qualidade; nota 5 segue para a pesquisa oficial da ROUTE).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Princípios: </w:t>
      </w:r>
      <w:r>
        <w:rPr>
          <w:sz w:val="21"/>
          <w:szCs w:val="21"/>
        </w:rPr>
        <w:t xml:space="preserve">100% de garantia de disparo (agendamento durável no banco, idempotente, com retentativa — sobrevive a restart/deploy); templates vinculáveis e trocáveis por etapa; aviso de qualidade no WhatsApp de um responsável; sem n8n.</w:t>
      </w:r>
    </w:p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2. Contrato da API de gatilho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Endpoint: </w:t>
      </w:r>
      <w:r>
        <w:rPr>
          <w:rFonts w:ascii="Consolas" w:cs="Consolas" w:eastAsia="Consolas" w:hAnsi="Consolas"/>
          <w:sz w:val="21"/>
          <w:szCs w:val="21"/>
        </w:rPr>
        <w:t xml:space="preserve">POST /automations/trigger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Autenticação: </w:t>
      </w:r>
      <w:r>
        <w:rPr>
          <w:rFonts w:ascii="Consolas" w:cs="Consolas" w:eastAsia="Consolas" w:hAnsi="Consolas"/>
          <w:sz w:val="21"/>
          <w:szCs w:val="21"/>
        </w:rPr>
        <w:t xml:space="preserve">Authorization: Bearer &lt;AUTOMATION_API_TOKEN&gt;</w:t>
      </w:r>
      <w:r>
        <w:rPr>
          <w:sz w:val="21"/>
          <w:szCs w:val="21"/>
        </w:rPr>
        <w:t xml:space="preserve">  (token em variável de ambiente, só o seu API conhece).</w:t>
      </w:r>
    </w:p>
    <w:p>
      <w:pPr>
        <w:spacing w:after="60" w:line="276"/>
      </w:pPr>
      <w:r>
        <w:rPr>
          <w:b/>
          <w:bCs/>
          <w:sz w:val="21"/>
          <w:szCs w:val="21"/>
        </w:rPr>
        <w:t xml:space="preserve">Corpo (JSON):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5320"/>
      </w:tblGrid>
      <w:tr>
        <w:trPr>
          <w:tblHeader/>
        </w:trPr>
        <w:tc>
          <w:tcPr>
            <w:tcW w:type="dxa" w:w="22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5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532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tipo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os_encerrada | venda_entregue | visita_sem_fechar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numero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WhatsApp do cliente (com DDI/DDD; aceita sem o 55 que o sistema normaliza)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Nome do cliente (usado nas variáveis dos templates)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dataEvento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 ISO‑8601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Data/hora do evento (encerramento da O.S. ou entrega). Base para calcular os prazos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externalRef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ID da O.S. ou da venda no seu sistema. Usado para idempotência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loja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 (opcional)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Loja/filial, para o texto/variável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string (opcional)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 do veículo (ex.: aniversário de compra)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extra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objeto (opcional)</w:t>
            </w:r>
          </w:p>
        </w:tc>
        <w:tc>
          <w:tcPr>
            <w:tcW w:type="dxa" w:w="53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Quaisquer variáveis adicionais para os templates</w:t>
            </w:r>
          </w:p>
        </w:tc>
      </w:tr>
    </w:tbl>
    <w:p>
      <w:pPr>
        <w:spacing w:after="60" w:line="276"/>
      </w:pPr>
      <w:r>
        <w:rPr>
          <w:b/>
          <w:bCs/>
          <w:sz w:val="21"/>
          <w:szCs w:val="21"/>
        </w:rPr>
        <w:t xml:space="preserve">Idempotência e confiabilidade: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dedupeKey = tipo + externalRef (único). Reenvio do mesmo evento não duplica a jornada — retorna a inscrição existente.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A inscrição e todos os passos agendados são gravados numa transação ANTES do 200. Depois do 200, o disparo está garantido.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Um worker lê o banco a cada minuto e dispara os passos vencidos; falha de envio é re‑tentada com backoff. Nada se perde em restart/deploy.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Resposta: </w:t>
      </w:r>
      <w:r>
        <w:rPr>
          <w:rFonts w:ascii="Consolas" w:cs="Consolas" w:eastAsia="Consolas" w:hAnsi="Consolas"/>
          <w:sz w:val="21"/>
          <w:szCs w:val="21"/>
        </w:rPr>
        <w:t xml:space="preserve">200 { enrollmentId, status, scheduled: [{ passo, runAt }] }</w:t>
      </w:r>
    </w:p>
    <w:p>
      <w:pPr>
        <w:spacing w:after="120" w:line="276"/>
      </w:pPr>
      <w:r>
        <w:rPr>
          <w:b/>
          <w:bCs/>
          <w:sz w:val="21"/>
          <w:szCs w:val="21"/>
        </w:rPr>
        <w:t xml:space="preserve">Consulta (opcional): </w:t>
      </w:r>
      <w:r>
        <w:rPr>
          <w:rFonts w:ascii="Consolas" w:cs="Consolas" w:eastAsia="Consolas" w:hAnsi="Consolas"/>
          <w:sz w:val="21"/>
          <w:szCs w:val="21"/>
        </w:rPr>
        <w:t xml:space="preserve">GET /automations/enrollments/:externalRef</w:t>
      </w:r>
      <w:r>
        <w:rPr>
          <w:sz w:val="21"/>
          <w:szCs w:val="21"/>
        </w:rPr>
        <w:t xml:space="preserve">  — status de cada passo (agendado/enviado/entregue/lido/falhou).</w:t>
      </w:r>
    </w:p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3. Jornada PÓS‑VENDAS</w:t>
      </w:r>
    </w:p>
    <w:p>
      <w:pPr>
        <w:spacing w:after="120" w:line="276"/>
      </w:pPr>
      <w:r>
        <w:rPr>
          <w:i/>
          <w:iCs/>
          <w:color w:val="667085"/>
          <w:sz w:val="21"/>
          <w:szCs w:val="21"/>
        </w:rPr>
        <w:t xml:space="preserve">Gatilho: os_encerrada (dataEvento = encerramento da O.S.).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2520"/>
        <w:gridCol w:w="2900"/>
      </w:tblGrid>
      <w:tr>
        <w:trPr>
          <w:tblHeader/>
        </w:trPr>
        <w:tc>
          <w:tcPr>
            <w:tcW w:type="dxa" w:w="9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2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52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9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Ramificação / Observação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h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(botões)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PSI — avaliar o atendimento da O.S.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1–4: NÃO cita CEM, avisa Qualidade.  5: segue p/ passo 2 (CEM/ROUTE) e agenda passo 1b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1b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 dias após nota 5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Agradecer novamente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quando a nota foi 5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(ao dar nota 5)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CEM — avisar que chega a pesquisa oficial da ROUTE (e‑mail/WhatsApp)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Só nota 5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dias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SMD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dias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CSI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Recorrente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Conteúdos de segurança, ofertas, curiosidades (proximidade)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Cadência configurável; templates trocáveis (Fase 4)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4. Jornada VENDAS</w:t>
      </w:r>
    </w:p>
    <w:p>
      <w:pPr>
        <w:spacing w:after="120" w:line="276"/>
      </w:pPr>
      <w:r>
        <w:rPr>
          <w:i/>
          <w:iCs/>
          <w:color w:val="667085"/>
          <w:sz w:val="21"/>
          <w:szCs w:val="21"/>
        </w:rPr>
        <w:t xml:space="preserve">Gatilhos: venda_entregue (dataEvento = entrega) e visita_sem_fechar (dataEvento = visita).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500"/>
        <w:gridCol w:w="1200"/>
        <w:gridCol w:w="2520"/>
        <w:gridCol w:w="2900"/>
      </w:tblGrid>
      <w:tr>
        <w:trPr>
          <w:tblHeader/>
        </w:trPr>
        <w:tc>
          <w:tcPr>
            <w:tcW w:type="dxa" w:w="9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15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Prazo</w:t>
            </w:r>
          </w:p>
        </w:tc>
        <w:tc>
          <w:tcPr>
            <w:tcW w:type="dxa" w:w="12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252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Objetivo</w:t>
            </w:r>
          </w:p>
        </w:tc>
        <w:tc>
          <w:tcPr>
            <w:tcW w:type="dxa" w:w="29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Ramificação / Observação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V0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 h após a visita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Cliente que veio e não fechou — reengajar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Gatilho visita_sem_fechar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24 h após entrega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Pesquisa (botões)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PSI — avaliar o atendimento da venda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1–4: avisa Qualidade.  5: segue p/ CEM/ROUTE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7 dias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Parabenizar pela compra e perguntar se está tudo certo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20 dias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SMD — “Como anda seu VW?”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30 dias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CSI — dar ciência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</w:tr>
      <w:tr>
        <w:trPr>
          <w:tblHeader w:val="false"/>
        </w:trPr>
        <w:tc>
          <w:tcPr>
            <w:tcW w:type="dxa" w:w="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365 dias</w:t>
            </w:r>
          </w:p>
        </w:tc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Mensagem</w:t>
            </w:r>
          </w:p>
        </w:tc>
        <w:tc>
          <w:tcPr>
            <w:tcW w:type="dxa" w:w="25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Aniversário de compra + lembrar da revisão</w:t>
            </w:r>
          </w:p>
        </w:tc>
        <w:tc>
          <w:tcPr>
            <w:tcW w:type="dxa" w:w="29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Usa {nome} e {modelo}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5. Templates a aprovar na Meta</w:t>
      </w:r>
    </w:p>
    <w:p>
      <w:pPr>
        <w:spacing w:after="120" w:line="276"/>
      </w:pPr>
      <w:r>
        <w:rPr>
          <w:sz w:val="21"/>
          <w:szCs w:val="21"/>
        </w:rPr>
        <w:t xml:space="preserve">Você cria/aprova cada template na Meta e vincula ao passo correspondente na tela (nome sugerido apenas como referência). Textos são sugestões — ajuste à vontade. Variáveis entre {{ }} são posicionais.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3620"/>
        <w:gridCol w:w="2700"/>
      </w:tblGrid>
      <w:tr>
        <w:trPr>
          <w:tblHeader/>
        </w:trPr>
        <w:tc>
          <w:tcPr>
            <w:tcW w:type="dxa" w:w="16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Nome sugerido</w:t>
            </w:r>
          </w:p>
        </w:tc>
        <w:tc>
          <w:tcPr>
            <w:tcW w:type="dxa" w:w="11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Categoria</w:t>
            </w:r>
          </w:p>
        </w:tc>
        <w:tc>
          <w:tcPr>
            <w:tcW w:type="dxa" w:w="362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Texto sugerido</w:t>
            </w:r>
          </w:p>
        </w:tc>
        <w:tc>
          <w:tcPr>
            <w:tcW w:type="dxa" w:w="27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Variáveis / Botões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psi_posvendas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Olá {{1}}! Sobre o atendimento da sua O.S. aqui na Francauto, como foi sua experiência?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 · Botões: “Ótimo” (=5) / “Pode melhorar” (=1–4)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cem_route_info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Que bom, {{1}}! 💙 Você vai receber uma pesquisa oficial da ROUTE por e‑mail ou WhatsApp. Sua opinião é muito importante pra nós.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agradecimento_psi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Oi {{1}}, obrigado de novo pela sua avaliação! Qualquer coisa, conte com a gente. 🙌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smd_posvendas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Olá {{1}}! Passados alguns dias do serviço, está tudo certo com seu veículo?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csi_posvendas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Olá {{1}}! Em breve você poderá receber nossa pesquisa de satisfação (CSI). Contamos com você!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conteudo_seguranca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Dica Francauto 🚗: {{1}}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conteúdo (trocável)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visita_sem_fechar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Oi {{1}}! Foi um prazer te receber na Francauto. Posso te ajudar a encontrar as melhores condições pro seu próximo VW?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psi_entrega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Olá {{1}}! Como foi o atendimento na compra do seu veículo?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 · Botões: “Ótimo” (=5) / “Pode melhorar” (=1–4)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parabens_compra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Parabéns pelo seu novo VW, {{1}}! 🎉 Está tudo certo com o veículo?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smd_vendas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E aí {{1}}, como anda seu VW? Curtindo a direção?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csi_vendas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Utility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Olá {{1}}! Em breve chega nossa pesquisa de satisfação (CSI). Sua opinião vale muito!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</w:t>
            </w:r>
          </w:p>
        </w:tc>
      </w:tr>
      <w:tr>
        <w:trPr>
          <w:tblHeader w:val="false"/>
        </w:trPr>
        <w:tc>
          <w:tcPr>
            <w:tcW w:type="dxa" w:w="16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aniversario_compra</w:t>
            </w:r>
          </w:p>
        </w:tc>
        <w:tc>
          <w:tcPr>
            <w:tcW w:type="dxa" w:w="11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Marketing</w:t>
            </w:r>
          </w:p>
        </w:tc>
        <w:tc>
          <w:tcPr>
            <w:tcW w:type="dxa" w:w="3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Hoje faz 1 ano do seu {{2}}, {{1}}! 🎂 Que tal agendar a revisão e manter tudo em dia?</w:t>
            </w:r>
          </w:p>
        </w:tc>
        <w:tc>
          <w:tcPr>
            <w:tcW w:type="dxa" w:w="27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{{1}} nome · {{2}} modelo</w:t>
            </w:r>
          </w:p>
        </w:tc>
      </w:tr>
    </w:tbl>
    <w:p>
      <w:pPr>
        <w:spacing w:after="120" w:line="276"/>
      </w:pPr>
      <w:r>
        <w:rPr>
          <w:i/>
          <w:iCs/>
          <w:color w:val="667085"/>
          <w:sz w:val="21"/>
          <w:szCs w:val="21"/>
        </w:rPr>
        <w:t xml:space="preserve">Observação (regra da Meta): toda mensagem proativa fora da janela de 24h exige template aprovado. A nota 1–5 é coletada por botões de resposta rápida (banda), porque o template permite no máximo 3 botões — por isso “Ótimo” (5) vs “Pode melhorar” (1–4). Ao tocar no botão, abre a janela de 24h e o restante do fluxo é livre.</w:t>
      </w:r>
    </w:p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6. Nota, bandas e qualidade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Botão “Ótimo” → nota 5 → envia cem_route_info e agenda o agradecimento (7 dias).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Botão “Pode melhorar” → banda 1–4 → NÃO cita CEM; dispara aviso de Qualidade no WhatsApp do responsável (número + conexão configuráveis, igual ao rodízio), com contexto: cliente, número, O.S./venda, loja e o passo.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sz w:val="21"/>
          <w:szCs w:val="21"/>
        </w:rPr>
        <w:t xml:space="preserve">O responsável de qualidade trata o caso fora da plataforma (pode registrar um atendimento também, se você quiser — configurável).</w:t>
      </w:r>
    </w:p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7. Modelo de dados (resumo)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6720"/>
      </w:tblGrid>
      <w:tr>
        <w:trPr>
          <w:tblHeader/>
        </w:trPr>
        <w:tc>
          <w:tcPr>
            <w:tcW w:type="dxa" w:w="23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Tabela</w:t>
            </w:r>
          </w:p>
        </w:tc>
        <w:tc>
          <w:tcPr>
            <w:tcW w:type="dxa" w:w="672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Conteúdo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AutomationJourney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Jornada (pos_vendas, vendas), nome, ativa, empresa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AutomationStep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Passo da jornada: ordem, prazo (offset), tipo (mensagem/pesquisa), template vinculado (nome/idioma/variáveis), config de botões/bandas, ativo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AutomationEnrollment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Inscrição (uma por evento): número, nome, dataEvento, externalRef, dedupeKey (único), status, dados extras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AutomationTask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Agendamento de cada passo: quando roda (runAt), status, tentativas, último erro, wamid, data de envio/entrega/leitura</w:t>
            </w:r>
          </w:p>
        </w:tc>
      </w:tr>
      <w:tr>
        <w:trPr>
          <w:tblHeader w:val="false"/>
        </w:trPr>
        <w:tc>
          <w:tcPr>
            <w:tcW w:type="dxa" w:w="23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AutomationResponse</w:t>
            </w:r>
          </w:p>
        </w:tc>
        <w:tc>
          <w:tcPr>
            <w:tcW w:type="dxa" w:w="67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Resposta da pesquisa: nota/banda, qual passo, data</w:t>
            </w:r>
          </w:p>
        </w:tc>
      </w:tr>
    </w:tbl>
    <w:p>
      <w:pPr>
        <w:pStyle w:val="Heading1"/>
        <w:spacing w:after="120" w:before="240"/>
      </w:pPr>
      <w:r>
        <w:rPr>
          <w:b/>
          <w:bCs/>
          <w:color w:val="2E5D8C"/>
          <w:sz w:val="30"/>
          <w:szCs w:val="30"/>
        </w:rPr>
        <w:t xml:space="preserve">8. Plano de implementação (fases)</w:t>
      </w:r>
    </w:p>
    <w:tbl>
      <w:tblPr>
        <w:tblW w:type="dxa" w:w="90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4620"/>
      </w:tblGrid>
      <w:tr>
        <w:trPr>
          <w:tblHeader/>
        </w:trPr>
        <w:tc>
          <w:tcPr>
            <w:tcW w:type="dxa" w:w="12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Fase</w:t>
            </w:r>
          </w:p>
        </w:tc>
        <w:tc>
          <w:tcPr>
            <w:tcW w:type="dxa" w:w="320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Entrega</w:t>
            </w:r>
          </w:p>
        </w:tc>
        <w:tc>
          <w:tcPr>
            <w:tcW w:type="dxa" w:w="4620"/>
            <w:shd w:fill="2E5D8C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Detalhe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Motor de disparo</w:t>
            </w:r>
          </w:p>
        </w:tc>
        <w:tc>
          <w:tcPr>
            <w:tcW w:type="dxa" w:w="4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Modelos + migration; endpoint de gatilho seguro e idempotente; agendador durável; envio de template via canal oficial; retentativa/backoff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Ramificação por nota</w:t>
            </w:r>
          </w:p>
        </w:tc>
        <w:tc>
          <w:tcPr>
            <w:tcW w:type="dxa" w:w="4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Captura do botão no inbound; banda 1–4/5; aviso de qualidade no WhatsApp; agendamento do agradecimento de 7 dias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Configuração na tela</w:t>
            </w:r>
          </w:p>
        </w:tc>
        <w:tc>
          <w:tcPr>
            <w:tcW w:type="dxa" w:w="4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CRUD de jornadas/passos; vínculo do template por passo; responsável de qualidade; ativar/desativar; ajustar prazos e textos</w:t>
            </w:r>
          </w:p>
        </w:tc>
      </w:tr>
      <w:tr>
        <w:trPr>
          <w:tblHeader w:val="false"/>
        </w:trPr>
        <w:tc>
          <w:tcPr>
            <w:tcW w:type="dxa" w:w="1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320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Conteúdos recorrentes</w:t>
            </w:r>
          </w:p>
        </w:tc>
        <w:tc>
          <w:tcPr>
            <w:tcW w:type="dxa" w:w="4620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20" w:line="250"/>
            </w:pPr>
            <w:r>
              <w:rPr>
                <w:b w:val="false"/>
                <w:bCs w:val="false"/>
                <w:sz w:val="19"/>
                <w:szCs w:val="19"/>
              </w:rPr>
              <w:t xml:space="preserve">Cadência e templates de segurança/ofertas/curiosidades; controle de frequência e opt‑out</w:t>
            </w:r>
          </w:p>
        </w:tc>
      </w:tr>
    </w:tbl>
    <w:p>
      <w:pPr>
        <w:spacing w:after="120" w:line="276"/>
      </w:pPr>
      <w:r>
        <w:rPr>
          <w:i/>
          <w:iCs/>
          <w:color w:val="667085"/>
          <w:sz w:val="21"/>
          <w:szCs w:val="21"/>
        </w:rPr>
        <w:t xml:space="preserve">Enquanto eu construo as Fases 1–2, você já pode aprovar os templates da seção 5 na Meta (o processo de aprovação costuma levar de minutos a algumas horas).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2026-10-29T12:38:26.775Z</dcterms:created>
  <dcterms:modified xsi:type="dcterms:W3CDTF">2026-10-29T12:38:26.782Z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