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sz w:val="56"/>
          <w:szCs w:val="56"/>
        </w:rPr>
        <w:t xml:space="preserve">BUSINESS PLAN</w:t>
      </w:r>
    </w:p>
    <w:p>
      <w:pPr>
        <w:spacing w:after="200"/>
        <w:jc w:val="center"/>
      </w:pPr>
      <w:r>
        <w:rPr>
          <w:b/>
          <w:bCs/>
          <w:sz w:val="44"/>
          <w:szCs w:val="44"/>
        </w:rPr>
        <w:t xml:space="preserve">Super Agent</w:t>
      </w:r>
    </w:p>
    <w:p>
      <w:pPr>
        <w:spacing w:after="1200"/>
        <w:jc w:val="center"/>
      </w:pPr>
      <w:r>
        <w:rPr>
          <w:i/>
          <w:iCs/>
          <w:sz w:val="26"/>
          <w:szCs w:val="26"/>
        </w:rPr>
        <w:t xml:space="preserve">A Multi-Insurer Quote Generation Platform for Kenyan Insurance Agents</w:t>
      </w:r>
    </w:p>
    <w:p>
      <w:pPr>
        <w:spacing w:after="1200"/>
        <w:jc w:val="center"/>
      </w:pPr>
      <w:r>
        <w:t xml:space="preserve">─────────────────</w:t>
      </w:r>
    </w:p>
    <w:p>
      <w:pPr>
        <w:spacing w:after="140"/>
        <w:jc w:val="center"/>
      </w:pPr>
      <w:r>
        <w:rPr>
          <w:b/>
          <w:bCs/>
          <w:sz w:val="24"/>
          <w:szCs w:val="24"/>
        </w:rPr>
        <w:t xml:space="preserve">Prepared by:</w:t>
      </w:r>
    </w:p>
    <w:p>
      <w:pPr>
        <w:spacing w:after="140"/>
        <w:jc w:val="center"/>
      </w:pPr>
      <w:r>
        <w:rPr>
          <w:sz w:val="24"/>
          <w:szCs w:val="24"/>
        </w:rPr>
        <w:t xml:space="preserve">Abigae Amina</w:t>
      </w:r>
    </w:p>
    <w:p>
      <w:pPr>
        <w:spacing w:after="400"/>
        <w:jc w:val="center"/>
      </w:pPr>
      <w:r>
        <w:rPr>
          <w:sz w:val="24"/>
          <w:szCs w:val="24"/>
        </w:rPr>
        <w:t xml:space="preserve">Admission No. 100485</w:t>
      </w:r>
    </w:p>
    <w:p>
      <w:pPr>
        <w:spacing w:after="140"/>
        <w:jc w:val="center"/>
      </w:pPr>
      <w:r>
        <w:rPr>
          <w:b/>
          <w:bCs/>
          <w:sz w:val="24"/>
          <w:szCs w:val="24"/>
        </w:rPr>
        <w:t xml:space="preserve">Course:</w:t>
      </w:r>
    </w:p>
    <w:p>
      <w:pPr>
        <w:spacing w:after="400"/>
        <w:jc w:val="center"/>
      </w:pPr>
      <w:r>
        <w:rPr>
          <w:sz w:val="24"/>
          <w:szCs w:val="24"/>
        </w:rPr>
        <w:t xml:space="preserve">BBIT4202 — Innovations and Entrepreneurship</w:t>
      </w:r>
    </w:p>
    <w:p>
      <w:pPr>
        <w:spacing w:after="140"/>
        <w:jc w:val="center"/>
      </w:pPr>
      <w:r>
        <w:rPr>
          <w:b/>
          <w:bCs/>
          <w:sz w:val="24"/>
          <w:szCs w:val="24"/>
        </w:rPr>
        <w:t xml:space="preserve">Institution:</w:t>
      </w:r>
    </w:p>
    <w:p>
      <w:pPr>
        <w:spacing w:after="400"/>
        <w:jc w:val="center"/>
      </w:pPr>
      <w:r>
        <w:rPr>
          <w:sz w:val="24"/>
          <w:szCs w:val="24"/>
        </w:rPr>
        <w:t xml:space="preserve">Strathmore University</w:t>
      </w:r>
    </w:p>
    <w:p>
      <w:pPr>
        <w:spacing w:after="140"/>
        <w:jc w:val="center"/>
      </w:pPr>
      <w:r>
        <w:rPr>
          <w:b/>
          <w:bCs/>
          <w:sz w:val="24"/>
          <w:szCs w:val="24"/>
        </w:rPr>
        <w:t xml:space="preserve">Date:</w:t>
      </w:r>
    </w:p>
    <w:p>
      <w:pPr>
        <w:spacing w:after="200"/>
        <w:jc w:val="center"/>
      </w:pPr>
      <w:r>
        <w:rPr>
          <w:sz w:val="24"/>
          <w:szCs w:val="24"/>
        </w:rPr>
        <w:t xml:space="preserve">April 2026</w:t>
      </w:r>
    </w:p>
    <w:p>
      <w:pPr>
        <w:sectPr>
          <w:pgSz w:w="12240" w:h="15840" w:orient="portrait"/>
          <w:pgMar w:top="1440" w:right="1440" w:bottom="1440" w:left="1440" w:header="708" w:footer="708" w:gutter="0"/>
          <w:pgNumType/>
          <w:docGrid w:linePitch="360"/>
        </w:sectPr>
      </w:pPr>
    </w:p>
    <w:p>
      <w:pPr>
        <w:pStyle w:val="Heading1"/>
        <w:pageBreakBefore/>
        <w:spacing w:after="300"/>
        <w:jc w:val="center"/>
      </w:pPr>
      <w:r>
        <w:t xml:space="preserve">Table of Contents</w:t>
      </w:r>
    </w:p>
    <w:p>
      <w:pPr>
        <w:tabs>
          <w:tab w:val="right" w:pos="9000" w:leader="dot"/>
        </w:tabs>
        <w:spacing w:after="80"/>
      </w:pPr>
      <w:r>
        <w:rPr>
          <w:b/>
          <w:bCs/>
          <w:sz w:val="24"/>
          <w:szCs w:val="24"/>
        </w:rPr>
        <w:t xml:space="preserve">List of Abbreviations</w:t>
      </w:r>
      <w:r>
        <w:rPr>
          <w:b/>
          <w:bCs/>
          <w:sz w:val="24"/>
          <w:szCs w:val="24"/>
        </w:rPr>
        <w:t xml:space="preserve">	3</w:t>
      </w:r>
    </w:p>
    <w:p>
      <w:pPr>
        <w:tabs>
          <w:tab w:val="right" w:pos="9000" w:leader="dot"/>
        </w:tabs>
        <w:spacing w:after="80"/>
      </w:pPr>
      <w:r>
        <w:rPr>
          <w:b/>
          <w:bCs/>
          <w:sz w:val="24"/>
          <w:szCs w:val="24"/>
        </w:rPr>
        <w:t xml:space="preserve">1. Executive Summary</w:t>
      </w:r>
      <w:r>
        <w:rPr>
          <w:b/>
          <w:bCs/>
          <w:sz w:val="24"/>
          <w:szCs w:val="24"/>
        </w:rPr>
        <w:t xml:space="preserve">	5</w:t>
      </w:r>
    </w:p>
    <w:p>
      <w:pPr>
        <w:tabs>
          <w:tab w:val="right" w:pos="9000" w:leader="dot"/>
        </w:tabs>
        <w:spacing w:after="80"/>
      </w:pPr>
      <w:r>
        <w:rPr>
          <w:b/>
          <w:bCs/>
          <w:sz w:val="24"/>
          <w:szCs w:val="24"/>
        </w:rPr>
        <w:t xml:space="preserve">2. Mission and Vision</w:t>
      </w:r>
      <w:r>
        <w:rPr>
          <w:b/>
          <w:bCs/>
          <w:sz w:val="24"/>
          <w:szCs w:val="24"/>
        </w:rPr>
        <w:t xml:space="preserve">	6</w:t>
      </w:r>
    </w:p>
    <w:p>
      <w:pPr>
        <w:tabs>
          <w:tab w:val="right" w:pos="9000" w:leader="dot"/>
        </w:tabs>
        <w:spacing w:after="40"/>
        <w:ind w:left="500"/>
      </w:pPr>
      <w:r>
        <w:rPr>
          <w:sz w:val="22"/>
          <w:szCs w:val="22"/>
        </w:rPr>
        <w:t xml:space="preserve">Mission Statement</w:t>
      </w:r>
      <w:r>
        <w:rPr>
          <w:sz w:val="22"/>
          <w:szCs w:val="22"/>
        </w:rPr>
        <w:t xml:space="preserve">	6</w:t>
      </w:r>
    </w:p>
    <w:p>
      <w:pPr>
        <w:tabs>
          <w:tab w:val="right" w:pos="9000" w:leader="dot"/>
        </w:tabs>
        <w:spacing w:after="40"/>
        <w:ind w:left="500"/>
      </w:pPr>
      <w:r>
        <w:rPr>
          <w:sz w:val="22"/>
          <w:szCs w:val="22"/>
        </w:rPr>
        <w:t xml:space="preserve">Vision Statement</w:t>
      </w:r>
      <w:r>
        <w:rPr>
          <w:sz w:val="22"/>
          <w:szCs w:val="22"/>
        </w:rPr>
        <w:t xml:space="preserve">	6</w:t>
      </w:r>
    </w:p>
    <w:p>
      <w:pPr>
        <w:tabs>
          <w:tab w:val="right" w:pos="9000" w:leader="dot"/>
        </w:tabs>
        <w:spacing w:after="80"/>
      </w:pPr>
      <w:r>
        <w:rPr>
          <w:b/>
          <w:bCs/>
          <w:sz w:val="24"/>
          <w:szCs w:val="24"/>
        </w:rPr>
        <w:t xml:space="preserve">3. Business Model Canvas (BMC)</w:t>
      </w:r>
      <w:r>
        <w:rPr>
          <w:b/>
          <w:bCs/>
          <w:sz w:val="24"/>
          <w:szCs w:val="24"/>
        </w:rPr>
        <w:t xml:space="preserve">	7</w:t>
      </w:r>
    </w:p>
    <w:p>
      <w:pPr>
        <w:tabs>
          <w:tab w:val="right" w:pos="9000" w:leader="dot"/>
        </w:tabs>
        <w:spacing w:after="40"/>
        <w:ind w:left="500"/>
      </w:pPr>
      <w:r>
        <w:rPr>
          <w:sz w:val="22"/>
          <w:szCs w:val="22"/>
        </w:rPr>
        <w:t xml:space="preserve">Block 1: Customer Segments</w:t>
      </w:r>
      <w:r>
        <w:rPr>
          <w:sz w:val="22"/>
          <w:szCs w:val="22"/>
        </w:rPr>
        <w:t xml:space="preserve">	7</w:t>
      </w:r>
    </w:p>
    <w:p>
      <w:pPr>
        <w:tabs>
          <w:tab w:val="right" w:pos="9000" w:leader="dot"/>
        </w:tabs>
        <w:spacing w:after="40"/>
        <w:ind w:left="500"/>
      </w:pPr>
      <w:r>
        <w:rPr>
          <w:sz w:val="22"/>
          <w:szCs w:val="22"/>
        </w:rPr>
        <w:t xml:space="preserve">Block 2: Value Propositions</w:t>
      </w:r>
      <w:r>
        <w:rPr>
          <w:sz w:val="22"/>
          <w:szCs w:val="22"/>
        </w:rPr>
        <w:t xml:space="preserve">	7</w:t>
      </w:r>
    </w:p>
    <w:p>
      <w:pPr>
        <w:tabs>
          <w:tab w:val="right" w:pos="9000" w:leader="dot"/>
        </w:tabs>
        <w:spacing w:after="40"/>
        <w:ind w:left="500"/>
      </w:pPr>
      <w:r>
        <w:rPr>
          <w:sz w:val="22"/>
          <w:szCs w:val="22"/>
        </w:rPr>
        <w:t xml:space="preserve">Block 3: Channels</w:t>
      </w:r>
      <w:r>
        <w:rPr>
          <w:sz w:val="22"/>
          <w:szCs w:val="22"/>
        </w:rPr>
        <w:t xml:space="preserve">	8</w:t>
      </w:r>
    </w:p>
    <w:p>
      <w:pPr>
        <w:tabs>
          <w:tab w:val="right" w:pos="9000" w:leader="dot"/>
        </w:tabs>
        <w:spacing w:after="40"/>
        <w:ind w:left="500"/>
      </w:pPr>
      <w:r>
        <w:rPr>
          <w:sz w:val="22"/>
          <w:szCs w:val="22"/>
        </w:rPr>
        <w:t xml:space="preserve">Block 4: Customer Relationships</w:t>
      </w:r>
      <w:r>
        <w:rPr>
          <w:sz w:val="22"/>
          <w:szCs w:val="22"/>
        </w:rPr>
        <w:t xml:space="preserve">	8</w:t>
      </w:r>
    </w:p>
    <w:p>
      <w:pPr>
        <w:tabs>
          <w:tab w:val="right" w:pos="9000" w:leader="dot"/>
        </w:tabs>
        <w:spacing w:after="40"/>
        <w:ind w:left="500"/>
      </w:pPr>
      <w:r>
        <w:rPr>
          <w:sz w:val="22"/>
          <w:szCs w:val="22"/>
        </w:rPr>
        <w:t xml:space="preserve">Block 5: Revenue Streams</w:t>
      </w:r>
      <w:r>
        <w:rPr>
          <w:sz w:val="22"/>
          <w:szCs w:val="22"/>
        </w:rPr>
        <w:t xml:space="preserve">	8</w:t>
      </w:r>
    </w:p>
    <w:p>
      <w:pPr>
        <w:tabs>
          <w:tab w:val="right" w:pos="9000" w:leader="dot"/>
        </w:tabs>
        <w:spacing w:after="40"/>
        <w:ind w:left="500"/>
      </w:pPr>
      <w:r>
        <w:rPr>
          <w:sz w:val="22"/>
          <w:szCs w:val="22"/>
        </w:rPr>
        <w:t xml:space="preserve">Block 6: Key Resources</w:t>
      </w:r>
      <w:r>
        <w:rPr>
          <w:sz w:val="22"/>
          <w:szCs w:val="22"/>
        </w:rPr>
        <w:t xml:space="preserve">	9</w:t>
      </w:r>
    </w:p>
    <w:p>
      <w:pPr>
        <w:tabs>
          <w:tab w:val="right" w:pos="9000" w:leader="dot"/>
        </w:tabs>
        <w:spacing w:after="40"/>
        <w:ind w:left="500"/>
      </w:pPr>
      <w:r>
        <w:rPr>
          <w:sz w:val="22"/>
          <w:szCs w:val="22"/>
        </w:rPr>
        <w:t xml:space="preserve">Block 7: Key Activities</w:t>
      </w:r>
      <w:r>
        <w:rPr>
          <w:sz w:val="22"/>
          <w:szCs w:val="22"/>
        </w:rPr>
        <w:t xml:space="preserve">	9</w:t>
      </w:r>
    </w:p>
    <w:p>
      <w:pPr>
        <w:tabs>
          <w:tab w:val="right" w:pos="9000" w:leader="dot"/>
        </w:tabs>
        <w:spacing w:after="40"/>
        <w:ind w:left="500"/>
      </w:pPr>
      <w:r>
        <w:rPr>
          <w:sz w:val="22"/>
          <w:szCs w:val="22"/>
        </w:rPr>
        <w:t xml:space="preserve">Block 8: Key Partnerships</w:t>
      </w:r>
      <w:r>
        <w:rPr>
          <w:sz w:val="22"/>
          <w:szCs w:val="22"/>
        </w:rPr>
        <w:t xml:space="preserve">	9</w:t>
      </w:r>
    </w:p>
    <w:p>
      <w:pPr>
        <w:tabs>
          <w:tab w:val="right" w:pos="9000" w:leader="dot"/>
        </w:tabs>
        <w:spacing w:after="40"/>
        <w:ind w:left="500"/>
      </w:pPr>
      <w:r>
        <w:rPr>
          <w:sz w:val="22"/>
          <w:szCs w:val="22"/>
        </w:rPr>
        <w:t xml:space="preserve">Block 9: Cost Structure</w:t>
      </w:r>
      <w:r>
        <w:rPr>
          <w:sz w:val="22"/>
          <w:szCs w:val="22"/>
        </w:rPr>
        <w:t xml:space="preserve">	10</w:t>
      </w:r>
    </w:p>
    <w:p>
      <w:pPr>
        <w:tabs>
          <w:tab w:val="right" w:pos="9000" w:leader="dot"/>
        </w:tabs>
        <w:spacing w:after="80"/>
      </w:pPr>
      <w:r>
        <w:rPr>
          <w:b/>
          <w:bCs/>
          <w:sz w:val="24"/>
          <w:szCs w:val="24"/>
        </w:rPr>
        <w:t xml:space="preserve">4. Business and Industry Profile</w:t>
      </w:r>
      <w:r>
        <w:rPr>
          <w:b/>
          <w:bCs/>
          <w:sz w:val="24"/>
          <w:szCs w:val="24"/>
        </w:rPr>
        <w:t xml:space="preserve">	11</w:t>
      </w:r>
    </w:p>
    <w:p>
      <w:pPr>
        <w:tabs>
          <w:tab w:val="right" w:pos="9000" w:leader="dot"/>
        </w:tabs>
        <w:spacing w:after="40"/>
        <w:ind w:left="500"/>
      </w:pPr>
      <w:r>
        <w:rPr>
          <w:sz w:val="22"/>
          <w:szCs w:val="22"/>
        </w:rPr>
        <w:t xml:space="preserve">Industry Overview</w:t>
      </w:r>
      <w:r>
        <w:rPr>
          <w:sz w:val="22"/>
          <w:szCs w:val="22"/>
        </w:rPr>
        <w:t xml:space="preserve">	11</w:t>
      </w:r>
    </w:p>
    <w:p>
      <w:pPr>
        <w:tabs>
          <w:tab w:val="right" w:pos="9000" w:leader="dot"/>
        </w:tabs>
        <w:spacing w:after="40"/>
        <w:ind w:left="500"/>
      </w:pPr>
      <w:r>
        <w:rPr>
          <w:sz w:val="22"/>
          <w:szCs w:val="22"/>
        </w:rPr>
        <w:t xml:space="preserve">Porter's Five Forces Analysis</w:t>
      </w:r>
      <w:r>
        <w:rPr>
          <w:sz w:val="22"/>
          <w:szCs w:val="22"/>
        </w:rPr>
        <w:t xml:space="preserve">	11</w:t>
      </w:r>
    </w:p>
    <w:p>
      <w:pPr>
        <w:tabs>
          <w:tab w:val="right" w:pos="9000" w:leader="dot"/>
        </w:tabs>
        <w:spacing w:after="80"/>
      </w:pPr>
      <w:r>
        <w:rPr>
          <w:b/>
          <w:bCs/>
          <w:sz w:val="24"/>
          <w:szCs w:val="24"/>
        </w:rPr>
        <w:t xml:space="preserve">5. Product / Service Description</w:t>
      </w:r>
      <w:r>
        <w:rPr>
          <w:b/>
          <w:bCs/>
          <w:sz w:val="24"/>
          <w:szCs w:val="24"/>
        </w:rPr>
        <w:t xml:space="preserve">	12</w:t>
      </w:r>
    </w:p>
    <w:p>
      <w:pPr>
        <w:tabs>
          <w:tab w:val="right" w:pos="9000" w:leader="dot"/>
        </w:tabs>
        <w:spacing w:after="40"/>
        <w:ind w:left="500"/>
      </w:pPr>
      <w:r>
        <w:rPr>
          <w:sz w:val="22"/>
          <w:szCs w:val="22"/>
        </w:rPr>
        <w:t xml:space="preserve">Core Product: Super Agent Platform</w:t>
      </w:r>
      <w:r>
        <w:rPr>
          <w:sz w:val="22"/>
          <w:szCs w:val="22"/>
        </w:rPr>
        <w:t xml:space="preserve">	12</w:t>
      </w:r>
    </w:p>
    <w:p>
      <w:pPr>
        <w:tabs>
          <w:tab w:val="right" w:pos="9000" w:leader="dot"/>
        </w:tabs>
        <w:spacing w:after="80"/>
      </w:pPr>
      <w:r>
        <w:rPr>
          <w:b/>
          <w:bCs/>
          <w:sz w:val="24"/>
          <w:szCs w:val="24"/>
        </w:rPr>
        <w:t xml:space="preserve">6. Value Proposition Statement</w:t>
      </w:r>
      <w:r>
        <w:rPr>
          <w:b/>
          <w:bCs/>
          <w:sz w:val="24"/>
          <w:szCs w:val="24"/>
        </w:rPr>
        <w:t xml:space="preserve">	13</w:t>
      </w:r>
    </w:p>
    <w:p>
      <w:pPr>
        <w:tabs>
          <w:tab w:val="right" w:pos="9000" w:leader="dot"/>
        </w:tabs>
        <w:spacing w:after="80"/>
      </w:pPr>
      <w:r>
        <w:rPr>
          <w:b/>
          <w:bCs/>
          <w:sz w:val="24"/>
          <w:szCs w:val="24"/>
        </w:rPr>
        <w:t xml:space="preserve">7. Competitor Analysis</w:t>
      </w:r>
      <w:r>
        <w:rPr>
          <w:b/>
          <w:bCs/>
          <w:sz w:val="24"/>
          <w:szCs w:val="24"/>
        </w:rPr>
        <w:t xml:space="preserve">	14</w:t>
      </w:r>
    </w:p>
    <w:p>
      <w:pPr>
        <w:tabs>
          <w:tab w:val="right" w:pos="9000" w:leader="dot"/>
        </w:tabs>
        <w:spacing w:after="40"/>
        <w:ind w:left="500"/>
      </w:pPr>
      <w:r>
        <w:rPr>
          <w:sz w:val="22"/>
          <w:szCs w:val="22"/>
        </w:rPr>
        <w:t xml:space="preserve">Positioning Statement</w:t>
      </w:r>
      <w:r>
        <w:rPr>
          <w:sz w:val="22"/>
          <w:szCs w:val="22"/>
        </w:rPr>
        <w:t xml:space="preserve">	14</w:t>
      </w:r>
    </w:p>
    <w:p>
      <w:pPr>
        <w:tabs>
          <w:tab w:val="right" w:pos="9000" w:leader="dot"/>
        </w:tabs>
        <w:spacing w:after="80"/>
      </w:pPr>
      <w:r>
        <w:rPr>
          <w:b/>
          <w:bCs/>
          <w:sz w:val="24"/>
          <w:szCs w:val="24"/>
        </w:rPr>
        <w:t xml:space="preserve">8. SWOT Analysis</w:t>
      </w:r>
      <w:r>
        <w:rPr>
          <w:b/>
          <w:bCs/>
          <w:sz w:val="24"/>
          <w:szCs w:val="24"/>
        </w:rPr>
        <w:t xml:space="preserve">	15</w:t>
      </w:r>
    </w:p>
    <w:p>
      <w:pPr>
        <w:tabs>
          <w:tab w:val="right" w:pos="9000" w:leader="dot"/>
        </w:tabs>
        <w:spacing w:after="80"/>
      </w:pPr>
      <w:r>
        <w:rPr>
          <w:b/>
          <w:bCs/>
          <w:sz w:val="24"/>
          <w:szCs w:val="24"/>
        </w:rPr>
        <w:t xml:space="preserve">9. Market Entry Strategy</w:t>
      </w:r>
      <w:r>
        <w:rPr>
          <w:b/>
          <w:bCs/>
          <w:sz w:val="24"/>
          <w:szCs w:val="24"/>
        </w:rPr>
        <w:t xml:space="preserve">	16</w:t>
      </w:r>
    </w:p>
    <w:p>
      <w:pPr>
        <w:tabs>
          <w:tab w:val="right" w:pos="9000" w:leader="dot"/>
        </w:tabs>
        <w:spacing w:after="40"/>
        <w:ind w:left="500"/>
      </w:pPr>
      <w:r>
        <w:rPr>
          <w:sz w:val="22"/>
          <w:szCs w:val="22"/>
        </w:rPr>
        <w:t xml:space="preserve">Phase 1 — MVP Build and Pilot (Months 1–6)</w:t>
      </w:r>
      <w:r>
        <w:rPr>
          <w:sz w:val="22"/>
          <w:szCs w:val="22"/>
        </w:rPr>
        <w:t xml:space="preserve">	16</w:t>
      </w:r>
    </w:p>
    <w:p>
      <w:pPr>
        <w:tabs>
          <w:tab w:val="right" w:pos="9000" w:leader="dot"/>
        </w:tabs>
        <w:spacing w:after="40"/>
        <w:ind w:left="500"/>
      </w:pPr>
      <w:r>
        <w:rPr>
          <w:sz w:val="22"/>
          <w:szCs w:val="22"/>
        </w:rPr>
        <w:t xml:space="preserve">Phase 2 — Paid Launch (Months 7–12)</w:t>
      </w:r>
      <w:r>
        <w:rPr>
          <w:sz w:val="22"/>
          <w:szCs w:val="22"/>
        </w:rPr>
        <w:t xml:space="preserve">	16</w:t>
      </w:r>
    </w:p>
    <w:p>
      <w:pPr>
        <w:tabs>
          <w:tab w:val="right" w:pos="9000" w:leader="dot"/>
        </w:tabs>
        <w:spacing w:after="40"/>
        <w:ind w:left="500"/>
      </w:pPr>
      <w:r>
        <w:rPr>
          <w:sz w:val="22"/>
          <w:szCs w:val="22"/>
        </w:rPr>
        <w:t xml:space="preserve">Phase 3 — Scale (Months 13–24)</w:t>
      </w:r>
      <w:r>
        <w:rPr>
          <w:sz w:val="22"/>
          <w:szCs w:val="22"/>
        </w:rPr>
        <w:t xml:space="preserve">	16</w:t>
      </w:r>
    </w:p>
    <w:p>
      <w:pPr>
        <w:tabs>
          <w:tab w:val="right" w:pos="9000" w:leader="dot"/>
        </w:tabs>
        <w:spacing w:after="80"/>
      </w:pPr>
      <w:r>
        <w:rPr>
          <w:b/>
          <w:bCs/>
          <w:sz w:val="24"/>
          <w:szCs w:val="24"/>
        </w:rPr>
        <w:t xml:space="preserve">10. Target Market — Segmentation, Targeting &amp; Positioning (STP)</w:t>
      </w:r>
      <w:r>
        <w:rPr>
          <w:b/>
          <w:bCs/>
          <w:sz w:val="24"/>
          <w:szCs w:val="24"/>
        </w:rPr>
        <w:t xml:space="preserve">	17</w:t>
      </w:r>
    </w:p>
    <w:p>
      <w:pPr>
        <w:tabs>
          <w:tab w:val="right" w:pos="9000" w:leader="dot"/>
        </w:tabs>
        <w:spacing w:after="40"/>
        <w:ind w:left="500"/>
      </w:pPr>
      <w:r>
        <w:rPr>
          <w:sz w:val="22"/>
          <w:szCs w:val="22"/>
        </w:rPr>
        <w:t xml:space="preserve">Segmentation</w:t>
      </w:r>
      <w:r>
        <w:rPr>
          <w:sz w:val="22"/>
          <w:szCs w:val="22"/>
        </w:rPr>
        <w:t xml:space="preserve">	17</w:t>
      </w:r>
    </w:p>
    <w:p>
      <w:pPr>
        <w:tabs>
          <w:tab w:val="right" w:pos="9000" w:leader="dot"/>
        </w:tabs>
        <w:spacing w:after="40"/>
        <w:ind w:left="500"/>
      </w:pPr>
      <w:r>
        <w:rPr>
          <w:sz w:val="22"/>
          <w:szCs w:val="22"/>
        </w:rPr>
        <w:t xml:space="preserve">Targeting</w:t>
      </w:r>
      <w:r>
        <w:rPr>
          <w:sz w:val="22"/>
          <w:szCs w:val="22"/>
        </w:rPr>
        <w:t xml:space="preserve">	17</w:t>
      </w:r>
    </w:p>
    <w:p>
      <w:pPr>
        <w:tabs>
          <w:tab w:val="right" w:pos="9000" w:leader="dot"/>
        </w:tabs>
        <w:spacing w:after="40"/>
        <w:ind w:left="500"/>
      </w:pPr>
      <w:r>
        <w:rPr>
          <w:sz w:val="22"/>
          <w:szCs w:val="22"/>
        </w:rPr>
        <w:t xml:space="preserve">Positioning</w:t>
      </w:r>
      <w:r>
        <w:rPr>
          <w:sz w:val="22"/>
          <w:szCs w:val="22"/>
        </w:rPr>
        <w:t xml:space="preserve">	17</w:t>
      </w:r>
    </w:p>
    <w:p>
      <w:pPr>
        <w:tabs>
          <w:tab w:val="right" w:pos="9000" w:leader="dot"/>
        </w:tabs>
        <w:spacing w:after="40"/>
        <w:ind w:left="500"/>
      </w:pPr>
      <w:r>
        <w:rPr>
          <w:sz w:val="22"/>
          <w:szCs w:val="22"/>
        </w:rPr>
        <w:t xml:space="preserve">Market Size (TAM / SAM / SOM)</w:t>
      </w:r>
      <w:r>
        <w:rPr>
          <w:sz w:val="22"/>
          <w:szCs w:val="22"/>
        </w:rPr>
        <w:t xml:space="preserve">	17</w:t>
      </w:r>
    </w:p>
    <w:p>
      <w:pPr>
        <w:tabs>
          <w:tab w:val="right" w:pos="9000" w:leader="dot"/>
        </w:tabs>
        <w:spacing w:after="80"/>
      </w:pPr>
      <w:r>
        <w:rPr>
          <w:b/>
          <w:bCs/>
          <w:sz w:val="24"/>
          <w:szCs w:val="24"/>
        </w:rPr>
        <w:t xml:space="preserve">11. Operations Plan</w:t>
      </w:r>
      <w:r>
        <w:rPr>
          <w:b/>
          <w:bCs/>
          <w:sz w:val="24"/>
          <w:szCs w:val="24"/>
        </w:rPr>
        <w:t xml:space="preserve">	18</w:t>
      </w:r>
    </w:p>
    <w:p>
      <w:pPr>
        <w:tabs>
          <w:tab w:val="right" w:pos="9000" w:leader="dot"/>
        </w:tabs>
        <w:spacing w:after="40"/>
        <w:ind w:left="500"/>
      </w:pPr>
      <w:r>
        <w:rPr>
          <w:sz w:val="22"/>
          <w:szCs w:val="22"/>
        </w:rPr>
        <w:t xml:space="preserve">Regulatory</w:t>
      </w:r>
      <w:r>
        <w:rPr>
          <w:sz w:val="22"/>
          <w:szCs w:val="22"/>
        </w:rPr>
        <w:t xml:space="preserve">	18</w:t>
      </w:r>
    </w:p>
    <w:p>
      <w:pPr>
        <w:tabs>
          <w:tab w:val="right" w:pos="9000" w:leader="dot"/>
        </w:tabs>
        <w:spacing w:after="40"/>
        <w:ind w:left="500"/>
      </w:pPr>
      <w:r>
        <w:rPr>
          <w:sz w:val="22"/>
          <w:szCs w:val="22"/>
        </w:rPr>
        <w:t xml:space="preserve">Team (Year 1)</w:t>
      </w:r>
      <w:r>
        <w:rPr>
          <w:sz w:val="22"/>
          <w:szCs w:val="22"/>
        </w:rPr>
        <w:t xml:space="preserve">	18</w:t>
      </w:r>
    </w:p>
    <w:p>
      <w:pPr>
        <w:tabs>
          <w:tab w:val="right" w:pos="9000" w:leader="dot"/>
        </w:tabs>
        <w:spacing w:after="40"/>
        <w:ind w:left="500"/>
      </w:pPr>
      <w:r>
        <w:rPr>
          <w:sz w:val="22"/>
          <w:szCs w:val="22"/>
        </w:rPr>
        <w:t xml:space="preserve">Technology Stack</w:t>
      </w:r>
      <w:r>
        <w:rPr>
          <w:sz w:val="22"/>
          <w:szCs w:val="22"/>
        </w:rPr>
        <w:t xml:space="preserve">	18</w:t>
      </w:r>
    </w:p>
    <w:p>
      <w:pPr>
        <w:tabs>
          <w:tab w:val="right" w:pos="9000" w:leader="dot"/>
        </w:tabs>
        <w:spacing w:after="40"/>
        <w:ind w:left="500"/>
      </w:pPr>
      <w:r>
        <w:rPr>
          <w:sz w:val="22"/>
          <w:szCs w:val="22"/>
        </w:rPr>
        <w:t xml:space="preserve">Operations Flow</w:t>
      </w:r>
      <w:r>
        <w:rPr>
          <w:sz w:val="22"/>
          <w:szCs w:val="22"/>
        </w:rPr>
        <w:t xml:space="preserve">	18</w:t>
      </w:r>
    </w:p>
    <w:p>
      <w:pPr>
        <w:tabs>
          <w:tab w:val="right" w:pos="9000" w:leader="dot"/>
        </w:tabs>
        <w:spacing w:after="80"/>
      </w:pPr>
      <w:r>
        <w:rPr>
          <w:b/>
          <w:bCs/>
          <w:sz w:val="24"/>
          <w:szCs w:val="24"/>
        </w:rPr>
        <w:t xml:space="preserve">12. Marketing Plan (4Ps)</w:t>
      </w:r>
      <w:r>
        <w:rPr>
          <w:b/>
          <w:bCs/>
          <w:sz w:val="24"/>
          <w:szCs w:val="24"/>
        </w:rPr>
        <w:t xml:space="preserve">	19</w:t>
      </w:r>
    </w:p>
    <w:p>
      <w:pPr>
        <w:tabs>
          <w:tab w:val="right" w:pos="9000" w:leader="dot"/>
        </w:tabs>
        <w:spacing w:after="80"/>
      </w:pPr>
      <w:r>
        <w:rPr>
          <w:b/>
          <w:bCs/>
          <w:sz w:val="24"/>
          <w:szCs w:val="24"/>
        </w:rPr>
        <w:t xml:space="preserve">13. Feasibility Analysis</w:t>
      </w:r>
      <w:r>
        <w:rPr>
          <w:b/>
          <w:bCs/>
          <w:sz w:val="24"/>
          <w:szCs w:val="24"/>
        </w:rPr>
        <w:t xml:space="preserve">	20</w:t>
      </w:r>
    </w:p>
    <w:p>
      <w:pPr>
        <w:tabs>
          <w:tab w:val="right" w:pos="9000" w:leader="dot"/>
        </w:tabs>
        <w:spacing w:after="40"/>
        <w:ind w:left="500"/>
      </w:pPr>
      <w:r>
        <w:rPr>
          <w:sz w:val="22"/>
          <w:szCs w:val="22"/>
        </w:rPr>
        <w:t xml:space="preserve">Market Feasibility</w:t>
      </w:r>
      <w:r>
        <w:rPr>
          <w:sz w:val="22"/>
          <w:szCs w:val="22"/>
        </w:rPr>
        <w:t xml:space="preserve">	20</w:t>
      </w:r>
    </w:p>
    <w:p>
      <w:pPr>
        <w:tabs>
          <w:tab w:val="right" w:pos="9000" w:leader="dot"/>
        </w:tabs>
        <w:spacing w:after="40"/>
        <w:ind w:left="500"/>
      </w:pPr>
      <w:r>
        <w:rPr>
          <w:sz w:val="22"/>
          <w:szCs w:val="22"/>
        </w:rPr>
        <w:t xml:space="preserve">Technical Feasibility</w:t>
      </w:r>
      <w:r>
        <w:rPr>
          <w:sz w:val="22"/>
          <w:szCs w:val="22"/>
        </w:rPr>
        <w:t xml:space="preserve">	20</w:t>
      </w:r>
    </w:p>
    <w:p>
      <w:pPr>
        <w:tabs>
          <w:tab w:val="right" w:pos="9000" w:leader="dot"/>
        </w:tabs>
        <w:spacing w:after="40"/>
        <w:ind w:left="500"/>
      </w:pPr>
      <w:r>
        <w:rPr>
          <w:sz w:val="22"/>
          <w:szCs w:val="22"/>
        </w:rPr>
        <w:t xml:space="preserve">Financial Feasibility</w:t>
      </w:r>
      <w:r>
        <w:rPr>
          <w:sz w:val="22"/>
          <w:szCs w:val="22"/>
        </w:rPr>
        <w:t xml:space="preserve">	20</w:t>
      </w:r>
    </w:p>
    <w:p>
      <w:pPr>
        <w:tabs>
          <w:tab w:val="right" w:pos="9000" w:leader="dot"/>
        </w:tabs>
        <w:spacing w:after="40"/>
        <w:ind w:left="500"/>
      </w:pPr>
      <w:r>
        <w:rPr>
          <w:sz w:val="22"/>
          <w:szCs w:val="22"/>
        </w:rPr>
        <w:t xml:space="preserve">Regulatory Feasibility</w:t>
      </w:r>
      <w:r>
        <w:rPr>
          <w:sz w:val="22"/>
          <w:szCs w:val="22"/>
        </w:rPr>
        <w:t xml:space="preserve">	20</w:t>
      </w:r>
    </w:p>
    <w:p>
      <w:pPr>
        <w:tabs>
          <w:tab w:val="right" w:pos="9000" w:leader="dot"/>
        </w:tabs>
        <w:spacing w:after="80"/>
      </w:pPr>
      <w:r>
        <w:rPr>
          <w:b/>
          <w:bCs/>
          <w:sz w:val="24"/>
          <w:szCs w:val="24"/>
        </w:rPr>
        <w:t xml:space="preserve">14. Risk Assessment and Mitigation</w:t>
      </w:r>
      <w:r>
        <w:rPr>
          <w:b/>
          <w:bCs/>
          <w:sz w:val="24"/>
          <w:szCs w:val="24"/>
        </w:rPr>
        <w:t xml:space="preserve">	21</w:t>
      </w:r>
    </w:p>
    <w:p>
      <w:pPr>
        <w:tabs>
          <w:tab w:val="right" w:pos="9000" w:leader="dot"/>
        </w:tabs>
        <w:spacing w:after="80"/>
      </w:pPr>
      <w:r>
        <w:rPr>
          <w:b/>
          <w:bCs/>
          <w:sz w:val="24"/>
          <w:szCs w:val="24"/>
        </w:rPr>
        <w:t xml:space="preserve">15. Projected Financial Statements</w:t>
      </w:r>
      <w:r>
        <w:rPr>
          <w:b/>
          <w:bCs/>
          <w:sz w:val="24"/>
          <w:szCs w:val="24"/>
        </w:rPr>
        <w:t xml:space="preserve">	22</w:t>
      </w:r>
    </w:p>
    <w:p>
      <w:pPr>
        <w:tabs>
          <w:tab w:val="right" w:pos="9000" w:leader="dot"/>
        </w:tabs>
        <w:spacing w:after="40"/>
        <w:ind w:left="500"/>
      </w:pPr>
      <w:r>
        <w:rPr>
          <w:sz w:val="22"/>
          <w:szCs w:val="22"/>
        </w:rPr>
        <w:t xml:space="preserve">15.1 Start-Up Costs</w:t>
      </w:r>
      <w:r>
        <w:rPr>
          <w:sz w:val="22"/>
          <w:szCs w:val="22"/>
        </w:rPr>
        <w:t xml:space="preserve">	22</w:t>
      </w:r>
    </w:p>
    <w:p>
      <w:pPr>
        <w:tabs>
          <w:tab w:val="right" w:pos="9000" w:leader="dot"/>
        </w:tabs>
        <w:spacing w:after="40"/>
        <w:ind w:left="500"/>
      </w:pPr>
      <w:r>
        <w:rPr>
          <w:sz w:val="22"/>
          <w:szCs w:val="22"/>
        </w:rPr>
        <w:t xml:space="preserve">15.2 Revenue Projections (Year 1)</w:t>
      </w:r>
      <w:r>
        <w:rPr>
          <w:sz w:val="22"/>
          <w:szCs w:val="22"/>
        </w:rPr>
        <w:t xml:space="preserve">	22</w:t>
      </w:r>
    </w:p>
    <w:p>
      <w:pPr>
        <w:tabs>
          <w:tab w:val="right" w:pos="9000" w:leader="dot"/>
        </w:tabs>
        <w:spacing w:after="40"/>
        <w:ind w:left="500"/>
      </w:pPr>
      <w:r>
        <w:rPr>
          <w:sz w:val="22"/>
          <w:szCs w:val="22"/>
        </w:rPr>
        <w:t xml:space="preserve">15.3 Projected Expenses (Year 1)</w:t>
      </w:r>
      <w:r>
        <w:rPr>
          <w:sz w:val="22"/>
          <w:szCs w:val="22"/>
        </w:rPr>
        <w:t xml:space="preserve">	22</w:t>
      </w:r>
    </w:p>
    <w:p>
      <w:pPr>
        <w:tabs>
          <w:tab w:val="right" w:pos="9000" w:leader="dot"/>
        </w:tabs>
        <w:spacing w:after="40"/>
        <w:ind w:left="500"/>
      </w:pPr>
      <w:r>
        <w:rPr>
          <w:sz w:val="22"/>
          <w:szCs w:val="22"/>
        </w:rPr>
        <w:t xml:space="preserve">15.4 Profit and Loss Summary</w:t>
      </w:r>
      <w:r>
        <w:rPr>
          <w:sz w:val="22"/>
          <w:szCs w:val="22"/>
        </w:rPr>
        <w:t xml:space="preserve">	23</w:t>
      </w:r>
    </w:p>
    <w:p>
      <w:pPr>
        <w:tabs>
          <w:tab w:val="right" w:pos="9000" w:leader="dot"/>
        </w:tabs>
        <w:spacing w:after="40"/>
        <w:ind w:left="500"/>
      </w:pPr>
      <w:r>
        <w:rPr>
          <w:sz w:val="22"/>
          <w:szCs w:val="22"/>
        </w:rPr>
        <w:t xml:space="preserve">15.5 Break-Even Analysis</w:t>
      </w:r>
      <w:r>
        <w:rPr>
          <w:sz w:val="22"/>
          <w:szCs w:val="22"/>
        </w:rPr>
        <w:t xml:space="preserve">	23</w:t>
      </w:r>
    </w:p>
    <w:p>
      <w:pPr>
        <w:tabs>
          <w:tab w:val="right" w:pos="9000" w:leader="dot"/>
        </w:tabs>
        <w:spacing w:after="40"/>
        <w:ind w:left="500"/>
      </w:pPr>
      <w:r>
        <w:rPr>
          <w:sz w:val="22"/>
          <w:szCs w:val="22"/>
        </w:rPr>
        <w:t xml:space="preserve">15.6 Unit Economics</w:t>
      </w:r>
      <w:r>
        <w:rPr>
          <w:sz w:val="22"/>
          <w:szCs w:val="22"/>
        </w:rPr>
        <w:t xml:space="preserve">	23</w:t>
      </w:r>
    </w:p>
    <w:p>
      <w:pPr>
        <w:tabs>
          <w:tab w:val="right" w:pos="9000" w:leader="dot"/>
        </w:tabs>
        <w:spacing w:after="80"/>
      </w:pPr>
      <w:r>
        <w:rPr>
          <w:b/>
          <w:bCs/>
          <w:sz w:val="24"/>
          <w:szCs w:val="24"/>
        </w:rPr>
        <w:t xml:space="preserve">16. The Ask (Funding Proposal)</w:t>
      </w:r>
      <w:r>
        <w:rPr>
          <w:b/>
          <w:bCs/>
          <w:sz w:val="24"/>
          <w:szCs w:val="24"/>
        </w:rPr>
        <w:t xml:space="preserve">	25</w:t>
      </w:r>
    </w:p>
    <w:p>
      <w:pPr>
        <w:tabs>
          <w:tab w:val="right" w:pos="9000" w:leader="dot"/>
        </w:tabs>
        <w:spacing w:after="40"/>
        <w:ind w:left="500"/>
      </w:pPr>
      <w:r>
        <w:rPr>
          <w:sz w:val="22"/>
          <w:szCs w:val="22"/>
        </w:rPr>
        <w:t xml:space="preserve">Use of Funds</w:t>
      </w:r>
      <w:r>
        <w:rPr>
          <w:sz w:val="22"/>
          <w:szCs w:val="22"/>
        </w:rPr>
        <w:t xml:space="preserve">	25</w:t>
      </w:r>
    </w:p>
    <w:p>
      <w:pPr>
        <w:tabs>
          <w:tab w:val="right" w:pos="9000" w:leader="dot"/>
        </w:tabs>
        <w:spacing w:after="40"/>
        <w:ind w:left="500"/>
      </w:pPr>
      <w:r>
        <w:rPr>
          <w:sz w:val="22"/>
          <w:szCs w:val="22"/>
        </w:rPr>
        <w:t xml:space="preserve">Funding Sources Being Explored</w:t>
      </w:r>
      <w:r>
        <w:rPr>
          <w:sz w:val="22"/>
          <w:szCs w:val="22"/>
        </w:rPr>
        <w:t xml:space="preserve">	25</w:t>
      </w:r>
    </w:p>
    <w:p>
      <w:pPr>
        <w:tabs>
          <w:tab w:val="right" w:pos="9000" w:leader="dot"/>
        </w:tabs>
        <w:spacing w:after="40"/>
        <w:ind w:left="500"/>
      </w:pPr>
      <w:r>
        <w:rPr>
          <w:sz w:val="22"/>
          <w:szCs w:val="22"/>
        </w:rPr>
        <w:t xml:space="preserve">Returns for Investors</w:t>
      </w:r>
      <w:r>
        <w:rPr>
          <w:sz w:val="22"/>
          <w:szCs w:val="22"/>
        </w:rPr>
        <w:t xml:space="preserve">	25</w:t>
      </w:r>
    </w:p>
    <w:p>
      <w:pPr>
        <w:tabs>
          <w:tab w:val="right" w:pos="9000" w:leader="dot"/>
        </w:tabs>
        <w:spacing w:after="40"/>
        <w:ind w:left="500"/>
      </w:pPr>
      <w:r>
        <w:rPr>
          <w:sz w:val="22"/>
          <w:szCs w:val="22"/>
        </w:rPr>
        <w:t xml:space="preserve">Investor Timeline</w:t>
      </w:r>
      <w:r>
        <w:rPr>
          <w:sz w:val="22"/>
          <w:szCs w:val="22"/>
        </w:rPr>
        <w:t xml:space="preserve">	26</w:t>
      </w:r>
    </w:p>
    <w:p>
      <w:pPr>
        <w:tabs>
          <w:tab w:val="right" w:pos="9000" w:leader="dot"/>
        </w:tabs>
        <w:spacing w:after="80"/>
      </w:pPr>
      <w:r>
        <w:rPr>
          <w:b/>
          <w:bCs/>
          <w:sz w:val="24"/>
          <w:szCs w:val="24"/>
        </w:rPr>
        <w:t xml:space="preserve">17. Appendix</w:t>
      </w:r>
      <w:r>
        <w:rPr>
          <w:b/>
          <w:bCs/>
          <w:sz w:val="24"/>
          <w:szCs w:val="24"/>
        </w:rPr>
        <w:t xml:space="preserve">	27</w:t>
      </w:r>
    </w:p>
    <w:p>
      <w:pPr>
        <w:tabs>
          <w:tab w:val="right" w:pos="9000" w:leader="dot"/>
        </w:tabs>
        <w:spacing w:after="80"/>
      </w:pPr>
      <w:r>
        <w:rPr>
          <w:b/>
          <w:bCs/>
          <w:sz w:val="24"/>
          <w:szCs w:val="24"/>
        </w:rPr>
        <w:t xml:space="preserve">18. References</w:t>
      </w:r>
      <w:r>
        <w:rPr>
          <w:b/>
          <w:bCs/>
          <w:sz w:val="24"/>
          <w:szCs w:val="24"/>
        </w:rPr>
        <w:t xml:space="preserve">	28</w:t>
      </w:r>
    </w:p>
    <w:p>
      <w:pPr>
        <w:pStyle w:val="Heading1"/>
        <w:pageBreakBefore/>
        <w:spacing w:after="300"/>
        <w:jc w:val="center"/>
      </w:pPr>
      <w:r>
        <w:t xml:space="preserve">List of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Abbreviation</w:t>
            </w:r>
          </w:p>
        </w:tc>
        <w:tc>
          <w:tcPr>
            <w:tcW w:type="dxa" w:w="71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Meaning</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AI</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Artificial Intelligence</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AIBK</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Association of Insurance Brokers of Kenya</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AIIK</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Association of Insurance Institute of Kenya</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API</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Application Programming Interface</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ARPA</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Average Revenue Per Agent</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ARPU</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Average Revenue Per User</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AWS</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Amazon Web Services</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BMC</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Business Model Canvas</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CAC</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Customer Acquisition Cost</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CEO</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Chief Executive Officer</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CRM</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Customer Relationship Management</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CV</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Curriculum Vitae</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GCP</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Google Cloud Platform</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GDP</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Gross Domestic Product</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GDPR</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General Data Protection Regulation</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IRA</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Insurance Regulatory Authority (of Kenya)</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KENIA</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Kenya National Innovation Agency</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Kenya Shillings</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LTV</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Lifetime Value</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MVP</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Minimum Viable Product</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ODPC</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Office of the Data Protection Commissioner</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PDF</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Portable Document Format</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PLG</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Product-Led Growth</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REST</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Representational State Transfer</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SaaS</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Software as a Service</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SAM</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Serviceable Available Market</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SLA</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Service Level Agreement</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SME</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Small and Medium Enterprise</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SOAP</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Simple Object Access Protocol</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SOC 2</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System and Organization Controls 2</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SOM</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Serviceable Obtainable Market</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STP</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Segmentation, Targeting, and Positioning</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SWOT</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Strengths, Weaknesses, Opportunities, and Threats</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TAM</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Total Addressable Market</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UX</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User Experience</w:t>
            </w:r>
          </w:p>
        </w:tc>
      </w:tr>
      <w:tr>
        <w:trPr>
          <w:tblHeader w:val="false"/>
        </w:trPr>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4Ps</w:t>
            </w:r>
          </w:p>
        </w:tc>
        <w:tc>
          <w:tcPr>
            <w:tcW w:type="dxa" w:w="7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Product, Price, Place, Promotion (Marketing Mix)</w:t>
            </w:r>
          </w:p>
        </w:tc>
      </w:tr>
    </w:tbl>
    <w:p>
      <w:pPr>
        <w:pStyle w:val="Heading1"/>
        <w:pageBreakBefore/>
        <w:spacing w:after="200" w:before="240"/>
      </w:pPr>
      <w:r>
        <w:t xml:space="preserve">1. Executive Summary</w:t>
      </w:r>
    </w:p>
    <w:p>
      <w:pPr>
        <w:spacing w:after="120"/>
      </w:pPr>
      <w:r>
        <w:rPr>
          <w:b/>
          <w:bCs/>
        </w:rPr>
        <w:t xml:space="preserve">The problem: </w:t>
      </w:r>
      <w:r>
        <w:t xml:space="preserve">Kenyan insurance agents spend 2–4 hours per client manually soliciting quotes from multiple insurers by email and phone, then comparing them in Excel. The process is slow, error-prone, and costs agents real revenue through lost conversions and limited daily client capacity.</w:t>
      </w:r>
    </w:p>
    <w:p>
      <w:pPr>
        <w:spacing w:after="120"/>
      </w:pPr>
      <w:r>
        <w:rPr>
          <w:b/>
          <w:bCs/>
        </w:rPr>
        <w:t xml:space="preserve">The solution: </w:t>
      </w:r>
      <w:r>
        <w:t xml:space="preserve">Super Agent is a cloud-based Insurance Agent Workstation that integrates with multiple insurer product catalogues and rating engines, delivering real-time, side-by-side quote comparisons in under 60 seconds — along with a built-in CRM and branded PDF output for client-ready quotations.</w:t>
      </w:r>
    </w:p>
    <w:p>
      <w:pPr>
        <w:spacing w:after="120"/>
      </w:pPr>
      <w:r>
        <w:rPr>
          <w:b/>
          <w:bCs/>
        </w:rPr>
        <w:t xml:space="preserve">The market: </w:t>
      </w:r>
      <w:r>
        <w:t xml:space="preserve">Kenya has approximately 4,500 licensed insurance agents and 250 brokerage firms (IRA, 2023). Insurance penetration sits at approximately 2.43% of GDP vs. a global average of ~7%, signalling sustained growth. No equivalent multi-insurer agent platform currently serves this market.</w:t>
      </w:r>
    </w:p>
    <w:p>
      <w:pPr>
        <w:spacing w:after="120"/>
      </w:pPr>
      <w:r>
        <w:rPr>
          <w:b/>
          <w:bCs/>
        </w:rPr>
        <w:t xml:space="preserve">Business model: </w:t>
      </w:r>
      <w:r>
        <w:t xml:space="preserve">Recurring SaaS subscriptions from agents and brokerages (primary revenue), plus integration and listing fees from insurers (secondary revenue). Strong unit economics: LTV:CAC approximately 20x.</w:t>
      </w:r>
    </w:p>
    <w:p>
      <w:pPr>
        <w:spacing w:after="120"/>
      </w:pPr>
      <w:r>
        <w:rPr>
          <w:b/>
          <w:bCs/>
        </w:rPr>
        <w:t xml:space="preserve">The team: </w:t>
      </w:r>
      <w:r>
        <w:t xml:space="preserve">Founder with product and business leadership, supported by two in-house developers and a dedicated agent relations manager. Legal and compliance advisory retained externally.</w:t>
      </w:r>
    </w:p>
    <w:p>
      <w:pPr>
        <w:spacing w:after="120"/>
      </w:pPr>
      <w:r>
        <w:rPr>
          <w:b/>
          <w:bCs/>
        </w:rPr>
        <w:t xml:space="preserve">The ask: </w:t>
      </w:r>
      <w:r>
        <w:t xml:space="preserve">KSh 800,000 seed funding to fund MVP development, regulatory compliance, first three insurer integrations, and the launch campaign. Projected break-even at approximately 102 paying agents (Month 18–20). Year 2 revenue projection: KSh 12M+.</w:t>
      </w:r>
    </w:p>
    <w:p>
      <w:pPr>
        <w:spacing w:after="120"/>
      </w:pPr>
      <w:r>
        <w:rPr>
          <w:b/>
          <w:bCs/>
        </w:rPr>
        <w:t xml:space="preserve">Why now: </w:t>
      </w:r>
      <w:r>
        <w:t xml:space="preserve">IRA's digital transformation agenda, insurance penetration growth, and the absence of a direct competitor create a clear first-mover opportunity. Speed to insurer partnerships and CRM-based switching costs will protect the position as competitors emerge.</w:t>
      </w:r>
    </w:p>
    <w:p>
      <w:pPr>
        <w:pStyle w:val="Heading1"/>
        <w:pageBreakBefore/>
        <w:spacing w:after="200" w:before="240"/>
      </w:pPr>
      <w:r>
        <w:t xml:space="preserve">2. Mission and Vision</w:t>
      </w:r>
    </w:p>
    <w:p>
      <w:pPr>
        <w:pStyle w:val="Heading2"/>
        <w:spacing w:after="120" w:before="200"/>
      </w:pPr>
      <w:r>
        <w:t xml:space="preserve">Mission Statement</w:t>
      </w:r>
    </w:p>
    <w:p>
      <w:pPr>
        <w:spacing w:after="120"/>
      </w:pPr>
      <w:r>
        <w:rPr>
          <w:i/>
          <w:iCs/>
          <w:color w:val="000000"/>
        </w:rPr>
        <w:t xml:space="preserve">(26 words) </w:t>
      </w:r>
      <w:r>
        <w:t xml:space="preserve">To empower insurance agents and brokers with a smart, integrated platform that delivers instant multi-insurer quotations — making insurance sales faster, fairer, and more professional.</w:t>
      </w:r>
    </w:p>
    <w:p>
      <w:pPr>
        <w:pStyle w:val="Heading2"/>
        <w:spacing w:after="120" w:before="200"/>
      </w:pPr>
      <w:r>
        <w:t xml:space="preserve">Vision Statement</w:t>
      </w:r>
    </w:p>
    <w:p>
      <w:pPr>
        <w:spacing w:after="120"/>
      </w:pPr>
      <w:r>
        <w:rPr>
          <w:i/>
          <w:iCs/>
          <w:color w:val="000000"/>
        </w:rPr>
        <w:t xml:space="preserve">(15 words) </w:t>
      </w:r>
      <w:r>
        <w:t xml:space="preserve">To be the standard workstation used by every licensed insurance agent in East Africa.</w:t>
      </w:r>
    </w:p>
    <w:p>
      <w:pPr>
        <w:pStyle w:val="Heading1"/>
        <w:pageBreakBefore/>
        <w:spacing w:after="200" w:before="240"/>
      </w:pPr>
      <w:r>
        <w:t xml:space="preserve">3. Business Model Canvas (BMC)</w:t>
      </w:r>
    </w:p>
    <w:p>
      <w:pPr>
        <w:spacing w:after="120"/>
      </w:pPr>
      <w:r>
        <w:t xml:space="preserve">The Business Model Canvas structures how Super Agent creates, delivers, and captures value across a two-sided marketplace of insurance agents and insurers.</w:t>
      </w:r>
    </w:p>
    <w:p>
      <w:pPr>
        <w:pStyle w:val="Heading2"/>
        <w:spacing w:after="120" w:before="200"/>
      </w:pPr>
      <w:r>
        <w:t xml:space="preserve">Block 1: Customer Segments</w:t>
      </w:r>
    </w:p>
    <w:p>
      <w:pPr>
        <w:spacing w:after="120"/>
      </w:pPr>
      <w:r>
        <w:rPr>
          <w:b/>
          <w:bCs/>
        </w:rPr>
        <w:t xml:space="preserve">Segment A — Insurance Agents and Brokers (Primary Paying Users)</w:t>
      </w:r>
    </w:p>
    <w:p>
      <w:pPr>
        <w:pStyle w:val="ListParagraph"/>
        <w:numPr>
          <w:ilvl w:val="0"/>
          <w:numId w:val="2"/>
        </w:numPr>
        <w:spacing w:after="80"/>
      </w:pPr>
      <w:r>
        <w:t xml:space="preserve">Licensed individual agents and corporate brokerage firms registered with IRA</w:t>
      </w:r>
    </w:p>
    <w:p>
      <w:pPr>
        <w:pStyle w:val="ListParagraph"/>
        <w:numPr>
          <w:ilvl w:val="0"/>
          <w:numId w:val="2"/>
        </w:numPr>
        <w:spacing w:after="80"/>
      </w:pPr>
      <w:r>
        <w:t xml:space="preserve">Currently spend 2–4 hours per client manually soliciting quotes</w:t>
      </w:r>
    </w:p>
    <w:p>
      <w:pPr>
        <w:pStyle w:val="ListParagraph"/>
        <w:numPr>
          <w:ilvl w:val="0"/>
          <w:numId w:val="2"/>
        </w:numPr>
        <w:spacing w:after="80"/>
      </w:pPr>
      <w:r>
        <w:t xml:space="preserve">Key needs: speed, accuracy, professional client presentation, competitive comparison</w:t>
      </w:r>
    </w:p>
    <w:p>
      <w:pPr>
        <w:pStyle w:val="ListParagraph"/>
        <w:numPr>
          <w:ilvl w:val="0"/>
          <w:numId w:val="2"/>
        </w:numPr>
        <w:spacing w:after="80"/>
      </w:pPr>
      <w:r>
        <w:t xml:space="preserve">Sub-segments: independent agents, brokerage firms (5–50 agents), bancassurance agents</w:t>
      </w:r>
    </w:p>
    <w:p>
      <w:pPr>
        <w:spacing w:after="120"/>
      </w:pPr>
      <w:r>
        <w:rPr>
          <w:b/>
          <w:bCs/>
        </w:rPr>
        <w:t xml:space="preserve">Segment B — Insurance Companies (Partners/Suppliers)</w:t>
      </w:r>
    </w:p>
    <w:p>
      <w:pPr>
        <w:pStyle w:val="ListParagraph"/>
        <w:numPr>
          <w:ilvl w:val="0"/>
          <w:numId w:val="2"/>
        </w:numPr>
        <w:spacing w:after="80"/>
      </w:pPr>
      <w:r>
        <w:t xml:space="preserve">General insurers (motor, health, property, travel, agriculture)</w:t>
      </w:r>
    </w:p>
    <w:p>
      <w:pPr>
        <w:pStyle w:val="ListParagraph"/>
        <w:numPr>
          <w:ilvl w:val="0"/>
          <w:numId w:val="2"/>
        </w:numPr>
        <w:spacing w:after="80"/>
      </w:pPr>
      <w:r>
        <w:t xml:space="preserve">Life insurers (life, pension, endowment)</w:t>
      </w:r>
    </w:p>
    <w:p>
      <w:pPr>
        <w:pStyle w:val="ListParagraph"/>
        <w:numPr>
          <w:ilvl w:val="0"/>
          <w:numId w:val="2"/>
        </w:numPr>
        <w:spacing w:after="80"/>
      </w:pPr>
      <w:r>
        <w:t xml:space="preserve">Key needs: broader agent reach, lower distribution costs, digital visibility</w:t>
      </w:r>
    </w:p>
    <w:p>
      <w:pPr>
        <w:pStyle w:val="ListParagraph"/>
        <w:numPr>
          <w:ilvl w:val="0"/>
          <w:numId w:val="2"/>
        </w:numPr>
        <w:spacing w:after="80"/>
      </w:pPr>
      <w:r>
        <w:t xml:space="preserve">Revenue contributors via integration and listing fees</w:t>
      </w:r>
    </w:p>
    <w:p>
      <w:pPr>
        <w:spacing w:after="120"/>
      </w:pPr>
      <w:r>
        <w:rPr>
          <w:b/>
          <w:bCs/>
        </w:rPr>
        <w:t xml:space="preserve">Secondary — End Clients (Indirect Beneficiaries)</w:t>
      </w:r>
    </w:p>
    <w:p>
      <w:pPr>
        <w:pStyle w:val="ListParagraph"/>
        <w:numPr>
          <w:ilvl w:val="0"/>
          <w:numId w:val="2"/>
        </w:numPr>
        <w:spacing w:after="80"/>
      </w:pPr>
      <w:r>
        <w:t xml:space="preserve">Businesses and individuals buying insurance via agents</w:t>
      </w:r>
    </w:p>
    <w:p>
      <w:pPr>
        <w:pStyle w:val="ListParagraph"/>
        <w:numPr>
          <w:ilvl w:val="0"/>
          <w:numId w:val="2"/>
        </w:numPr>
        <w:spacing w:after="80"/>
      </w:pPr>
      <w:r>
        <w:t xml:space="preserve">Benefit from faster turnaround and transparent comparison</w:t>
      </w:r>
    </w:p>
    <w:p>
      <w:pPr>
        <w:pStyle w:val="Heading2"/>
        <w:spacing w:after="120" w:before="200"/>
      </w:pPr>
      <w:r>
        <w:t xml:space="preserve">Block 2: Value Propositions</w:t>
      </w:r>
    </w:p>
    <w:p>
      <w:pPr>
        <w:spacing w:after="120"/>
      </w:pPr>
      <w:r>
        <w:rPr>
          <w:b/>
          <w:bCs/>
        </w:rPr>
        <w:t xml:space="preserve">For Agents and Brokers:</w:t>
      </w:r>
    </w:p>
    <w:p>
      <w:pPr>
        <w:pStyle w:val="ListParagraph"/>
        <w:numPr>
          <w:ilvl w:val="0"/>
          <w:numId w:val="2"/>
        </w:numPr>
        <w:spacing w:after="80"/>
      </w:pPr>
      <w:r>
        <w:t xml:space="preserve">Quotations from multiple insurers in under 60 seconds (vs. 2–4 hours via email)</w:t>
      </w:r>
    </w:p>
    <w:p>
      <w:pPr>
        <w:pStyle w:val="ListParagraph"/>
        <w:numPr>
          <w:ilvl w:val="0"/>
          <w:numId w:val="2"/>
        </w:numPr>
        <w:spacing w:after="80"/>
      </w:pPr>
      <w:r>
        <w:t xml:space="preserve">Side-by-side comparison of premiums, coverage, exclusions, and policy terms</w:t>
      </w:r>
    </w:p>
    <w:p>
      <w:pPr>
        <w:pStyle w:val="ListParagraph"/>
        <w:numPr>
          <w:ilvl w:val="0"/>
          <w:numId w:val="2"/>
        </w:numPr>
        <w:spacing w:after="80"/>
      </w:pPr>
      <w:r>
        <w:t xml:space="preserve">Branded, IRA-compliant PDF quotes ready to share via WhatsApp</w:t>
      </w:r>
    </w:p>
    <w:p>
      <w:pPr>
        <w:pStyle w:val="ListParagraph"/>
        <w:numPr>
          <w:ilvl w:val="0"/>
          <w:numId w:val="2"/>
        </w:numPr>
        <w:spacing w:after="80"/>
      </w:pPr>
      <w:r>
        <w:t xml:space="preserve">Integrated CRM: client records, quote history, renewal reminders</w:t>
      </w:r>
    </w:p>
    <w:p>
      <w:pPr>
        <w:pStyle w:val="ListParagraph"/>
        <w:numPr>
          <w:ilvl w:val="0"/>
          <w:numId w:val="2"/>
        </w:numPr>
        <w:spacing w:after="80"/>
      </w:pPr>
      <w:r>
        <w:t xml:space="preserve">More clients per day, higher conversion, higher commissions</w:t>
      </w:r>
    </w:p>
    <w:p>
      <w:pPr>
        <w:spacing w:after="120"/>
      </w:pPr>
      <w:r>
        <w:rPr>
          <w:b/>
          <w:bCs/>
        </w:rPr>
        <w:t xml:space="preserve">For Insurance Companies:</w:t>
      </w:r>
    </w:p>
    <w:p>
      <w:pPr>
        <w:pStyle w:val="ListParagraph"/>
        <w:numPr>
          <w:ilvl w:val="0"/>
          <w:numId w:val="2"/>
        </w:numPr>
        <w:spacing w:after="80"/>
      </w:pPr>
      <w:r>
        <w:t xml:space="preserve">Direct digital integration into a rich agent distribution channel</w:t>
      </w:r>
    </w:p>
    <w:p>
      <w:pPr>
        <w:pStyle w:val="ListParagraph"/>
        <w:numPr>
          <w:ilvl w:val="0"/>
          <w:numId w:val="2"/>
        </w:numPr>
        <w:spacing w:after="80"/>
      </w:pPr>
      <w:r>
        <w:t xml:space="preserve">Increased reach without hiring more agents</w:t>
      </w:r>
    </w:p>
    <w:p>
      <w:pPr>
        <w:pStyle w:val="ListParagraph"/>
        <w:numPr>
          <w:ilvl w:val="0"/>
          <w:numId w:val="2"/>
        </w:numPr>
        <w:spacing w:after="80"/>
      </w:pPr>
      <w:r>
        <w:t xml:space="preserve">Real-time analytics on quote volumes, conversion rates, product performance</w:t>
      </w:r>
    </w:p>
    <w:p>
      <w:pPr>
        <w:spacing w:after="120"/>
      </w:pPr>
      <w:r>
        <w:rPr>
          <w:b/>
          <w:bCs/>
        </w:rPr>
        <w:t xml:space="preserve">Unique Value Proposition: </w:t>
      </w:r>
      <w:r>
        <w:rPr>
          <w:i/>
          <w:iCs/>
        </w:rPr>
        <w:t xml:space="preserve">"Super Agent turns a 4-hour quoting process into 60 seconds — giving agents the speed to serve more clients, the comparison tools to win more business, and the professionalism to build lasting trust."</w:t>
      </w:r>
    </w:p>
    <w:p>
      <w:pPr>
        <w:pStyle w:val="Heading2"/>
        <w:spacing w:after="120" w:before="200"/>
      </w:pPr>
      <w:r>
        <w:t xml:space="preserve">Block 3: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Stage</w:t>
            </w:r>
          </w:p>
        </w:tc>
        <w:tc>
          <w:tcPr>
            <w:tcW w:type="dxa" w:w="7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Channel</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Awareness</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LinkedIn ads, AIBK industry events, AIIK conferences, WhatsApp agent groups, referrals</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Consideration</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14-day free trial via website, demo webinars, YouTube tutorials</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Onboarding</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Self-service web/mobile sign-up with guided setup wizard</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Delivery</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Cloud-based web app (browser) plus Android mobile app for field agents</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Retention &amp; Support</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In-app chat, WhatsApp helpline, email newsletters</w:t>
            </w:r>
          </w:p>
        </w:tc>
      </w:tr>
    </w:tbl>
    <w:p>
      <w:pPr>
        <w:pStyle w:val="Heading2"/>
        <w:spacing w:after="120" w:before="200"/>
      </w:pPr>
      <w:r>
        <w:t xml:space="preserve">Block 4: Customer Relationships</w:t>
      </w:r>
    </w:p>
    <w:p>
      <w:pPr>
        <w:spacing w:after="120"/>
      </w:pPr>
      <w:r>
        <w:rPr>
          <w:b/>
          <w:bCs/>
        </w:rPr>
        <w:t xml:space="preserve">With Agents: </w:t>
      </w:r>
      <w:r>
        <w:t xml:space="preserve">Self-service SaaS with dedicated onboarding for the first 30 days; peer WhatsApp community; account managers assigned for brokerages with 10+ agents.</w:t>
      </w:r>
    </w:p>
    <w:p>
      <w:pPr>
        <w:spacing w:after="120"/>
      </w:pPr>
      <w:r>
        <w:rPr>
          <w:b/>
          <w:bCs/>
        </w:rPr>
        <w:t xml:space="preserve">With Insurers: </w:t>
      </w:r>
      <w:r>
        <w:t xml:space="preserve">Partnership-based relationships with regular integration reviews and access to performance dashboards.</w:t>
      </w:r>
    </w:p>
    <w:p>
      <w:pPr>
        <w:spacing w:after="120"/>
      </w:pPr>
      <w:r>
        <w:rPr>
          <w:b/>
          <w:bCs/>
        </w:rPr>
        <w:t xml:space="preserve">With End Clients: </w:t>
      </w:r>
      <w:r>
        <w:t xml:space="preserve">Indirect — experience Super Agent's professionalism through branded PDF quotes delivered by their agent.</w:t>
      </w:r>
    </w:p>
    <w:p>
      <w:pPr>
        <w:pStyle w:val="Heading2"/>
        <w:spacing w:after="120" w:before="200"/>
      </w:pPr>
      <w:r>
        <w:t xml:space="preserve">Block 5: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rPr>
          <w:tblHeader/>
        </w:trPr>
        <w:tc>
          <w:tcPr>
            <w:tcW w:type="dxa" w:w="28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Revenue Stream</w:t>
            </w:r>
          </w:p>
        </w:tc>
        <w:tc>
          <w:tcPr>
            <w:tcW w:type="dxa" w:w="4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Description</w:t>
            </w:r>
          </w:p>
        </w:tc>
        <w:tc>
          <w:tcPr>
            <w:tcW w:type="dxa" w:w="22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Price</w:t>
            </w:r>
          </w:p>
        </w:tc>
      </w:tr>
      <w:tr>
        <w:trPr>
          <w:tblHeader w:val="false"/>
        </w:trPr>
        <w:tc>
          <w:tcPr>
            <w:tcW w:type="dxa" w:w="2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Agent Subscription — Starter</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Individual agent, up to 50 quotes/month</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 1,500/mo</w:t>
            </w:r>
          </w:p>
        </w:tc>
      </w:tr>
      <w:tr>
        <w:trPr>
          <w:tblHeader w:val="false"/>
        </w:trPr>
        <w:tc>
          <w:tcPr>
            <w:tcW w:type="dxa" w:w="2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Agent Subscription — Professional</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Individual agent, unlimited quotes + CRM</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 3,000/mo</w:t>
            </w:r>
          </w:p>
        </w:tc>
      </w:tr>
      <w:tr>
        <w:trPr>
          <w:tblHeader w:val="false"/>
        </w:trPr>
        <w:tc>
          <w:tcPr>
            <w:tcW w:type="dxa" w:w="2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Brokerage Firm Plan</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Up to 15 agents on one account</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 20,000/mo</w:t>
            </w:r>
          </w:p>
        </w:tc>
      </w:tr>
      <w:tr>
        <w:trPr>
          <w:tblHeader w:val="false"/>
        </w:trPr>
        <w:tc>
          <w:tcPr>
            <w:tcW w:type="dxa" w:w="2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Insurer Integration Fee</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One-time API setup per insurer</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 50,000–150,000</w:t>
            </w:r>
          </w:p>
        </w:tc>
      </w:tr>
      <w:tr>
        <w:trPr>
          <w:tblHeader w:val="false"/>
        </w:trPr>
        <w:tc>
          <w:tcPr>
            <w:tcW w:type="dxa" w:w="2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Insurer Monthly Listing Fee</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Ongoing listing and lead access</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 10,000–30,000/mo</w:t>
            </w:r>
          </w:p>
        </w:tc>
      </w:tr>
      <w:tr>
        <w:trPr>
          <w:tblHeader w:val="false"/>
        </w:trPr>
        <w:tc>
          <w:tcPr>
            <w:tcW w:type="dxa" w:w="2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Lead Conversion Commission</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 of premium on policies closed via platform</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0.5–1%</w:t>
            </w:r>
          </w:p>
        </w:tc>
      </w:tr>
      <w:tr>
        <w:trPr>
          <w:tblHeader w:val="false"/>
        </w:trPr>
        <w:tc>
          <w:tcPr>
            <w:tcW w:type="dxa" w:w="2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Premium PDF Branding</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Customised branded quote templates</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 2,000 one-time</w:t>
            </w:r>
          </w:p>
        </w:tc>
      </w:tr>
    </w:tbl>
    <w:p>
      <w:pPr>
        <w:spacing w:after="120"/>
      </w:pPr>
      <w:r>
        <w:rPr>
          <w:b/>
          <w:bCs/>
        </w:rPr>
        <w:t xml:space="preserve">Primary driver Year 1: </w:t>
      </w:r>
      <w:r>
        <w:t xml:space="preserve">Agent subscriptions. </w:t>
      </w:r>
      <w:r>
        <w:rPr>
          <w:b/>
          <w:bCs/>
        </w:rPr>
        <w:t xml:space="preserve">Secondary driver Year 2+: </w:t>
      </w:r>
      <w:r>
        <w:t xml:space="preserve">Insurer listing fees and conversion commissions.</w:t>
      </w:r>
    </w:p>
    <w:p>
      <w:pPr>
        <w:pStyle w:val="Heading2"/>
        <w:spacing w:after="120" w:before="200"/>
      </w:pPr>
      <w:r>
        <w:t xml:space="preserve">Block 6: Key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Type</w:t>
            </w:r>
          </w:p>
        </w:tc>
        <w:tc>
          <w:tcPr>
            <w:tcW w:type="dxa" w:w="7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Resource</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Intellectual</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Platform software, proprietary rating/aggregation logic, brand, domain</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Human</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Founder, 2 developers (backend + frontend), sales/agent relations manager</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Regulatory</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IRA liaison, legal counsel for data and insurance compliance</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Relational</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Integration agreements with 3–5 pilot insurers</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Financial</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 800,000 seed capital</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Technical</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Cloud hosting (AWS/GCP), API gateway, encrypted database</w:t>
            </w:r>
          </w:p>
        </w:tc>
      </w:tr>
      <w:tr>
        <w:trPr>
          <w:tblHeader w:val="false"/>
        </w:trPr>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Data</w:t>
            </w:r>
          </w:p>
        </w:tc>
        <w:tc>
          <w:tcPr>
            <w:tcW w:type="dxa" w:w="7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Insurer product catalogues, premium tables, policy documents</w:t>
            </w:r>
          </w:p>
        </w:tc>
      </w:tr>
    </w:tbl>
    <w:p>
      <w:pPr>
        <w:pStyle w:val="Heading2"/>
        <w:spacing w:after="120" w:before="200"/>
      </w:pPr>
      <w:r>
        <w:t xml:space="preserve">Block 7: Key Activities</w:t>
      </w:r>
    </w:p>
    <w:p>
      <w:pPr>
        <w:pStyle w:val="ListParagraph"/>
        <w:numPr>
          <w:ilvl w:val="0"/>
          <w:numId w:val="2"/>
        </w:numPr>
        <w:spacing w:after="80"/>
      </w:pPr>
      <w:r>
        <w:t xml:space="preserve">Platform development and maintenance (quote engine, CRM, dashboards)</w:t>
      </w:r>
    </w:p>
    <w:p>
      <w:pPr>
        <w:pStyle w:val="ListParagraph"/>
        <w:numPr>
          <w:ilvl w:val="0"/>
          <w:numId w:val="2"/>
        </w:numPr>
        <w:spacing w:after="80"/>
      </w:pPr>
      <w:r>
        <w:t xml:space="preserve">Insurer API integration and data onboarding</w:t>
      </w:r>
    </w:p>
    <w:p>
      <w:pPr>
        <w:pStyle w:val="ListParagraph"/>
        <w:numPr>
          <w:ilvl w:val="0"/>
          <w:numId w:val="2"/>
        </w:numPr>
        <w:spacing w:after="80"/>
      </w:pPr>
      <w:r>
        <w:t xml:space="preserve">Agent acquisition, onboarding, and support</w:t>
      </w:r>
    </w:p>
    <w:p>
      <w:pPr>
        <w:pStyle w:val="ListParagraph"/>
        <w:numPr>
          <w:ilvl w:val="0"/>
          <w:numId w:val="2"/>
        </w:numPr>
        <w:spacing w:after="80"/>
      </w:pPr>
      <w:r>
        <w:t xml:space="preserve">Regulatory compliance (IRA engagement, Kenya Data Protection Act 2019)</w:t>
      </w:r>
    </w:p>
    <w:p>
      <w:pPr>
        <w:pStyle w:val="ListParagraph"/>
        <w:numPr>
          <w:ilvl w:val="0"/>
          <w:numId w:val="2"/>
        </w:numPr>
        <w:spacing w:after="80"/>
      </w:pPr>
      <w:r>
        <w:t xml:space="preserve">Continuous insurer product and rate updates</w:t>
      </w:r>
    </w:p>
    <w:p>
      <w:pPr>
        <w:pStyle w:val="ListParagraph"/>
        <w:numPr>
          <w:ilvl w:val="0"/>
          <w:numId w:val="2"/>
        </w:numPr>
        <w:spacing w:after="80"/>
      </w:pPr>
      <w:r>
        <w:t xml:space="preserve">Sales, marketing, and industry-event presence</w:t>
      </w:r>
    </w:p>
    <w:p>
      <w:pPr>
        <w:pStyle w:val="ListParagraph"/>
        <w:numPr>
          <w:ilvl w:val="0"/>
          <w:numId w:val="2"/>
        </w:numPr>
        <w:spacing w:after="80"/>
      </w:pPr>
      <w:r>
        <w:t xml:space="preserve">Data security and uptime management</w:t>
      </w:r>
    </w:p>
    <w:p>
      <w:pPr>
        <w:pStyle w:val="Heading2"/>
        <w:spacing w:after="120" w:before="200"/>
      </w:pPr>
      <w:r>
        <w:t xml:space="preserve">Block 8: Key Partnerships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Partner</w:t>
            </w:r>
          </w:p>
        </w:tc>
        <w:tc>
          <w:tcPr>
            <w:tcW w:type="dxa" w:w="57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Role</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Insurance Companies (5–10 initial)</w:t>
            </w:r>
          </w:p>
        </w:tc>
        <w:tc>
          <w:tcPr>
            <w:tcW w:type="dxa" w:w="57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Product data, premium tables, API access</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Insurance Regulatory Authority (IRA)</w:t>
            </w:r>
          </w:p>
        </w:tc>
        <w:tc>
          <w:tcPr>
            <w:tcW w:type="dxa" w:w="57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Compliance guidance, market access</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Association of Insurance Brokers of Kenya (AIBK)</w:t>
            </w:r>
          </w:p>
        </w:tc>
        <w:tc>
          <w:tcPr>
            <w:tcW w:type="dxa" w:w="57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Industry credibility, agent referrals, co-marketing</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Cloud Provider (AWS/GCP/Azure)</w:t>
            </w:r>
          </w:p>
        </w:tc>
        <w:tc>
          <w:tcPr>
            <w:tcW w:type="dxa" w:w="57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Scalable, secure hosting</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Safaricom Daraja / bank gateway</w:t>
            </w:r>
          </w:p>
        </w:tc>
        <w:tc>
          <w:tcPr>
            <w:tcW w:type="dxa" w:w="57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Subscription payment processing</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Legal &amp; Compliance Firm</w:t>
            </w:r>
          </w:p>
        </w:tc>
        <w:tc>
          <w:tcPr>
            <w:tcW w:type="dxa" w:w="57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ODPC registration, insurance law advisory</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Strathmore iBiz Africa / Villgro Africa</w:t>
            </w:r>
          </w:p>
        </w:tc>
        <w:tc>
          <w:tcPr>
            <w:tcW w:type="dxa" w:w="57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Mentorship, early network, angel access</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Software development freelancers</w:t>
            </w:r>
          </w:p>
        </w:tc>
        <w:tc>
          <w:tcPr>
            <w:tcW w:type="dxa" w:w="57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Surge development capacity</w:t>
            </w:r>
          </w:p>
        </w:tc>
      </w:tr>
    </w:tbl>
    <w:p>
      <w:pPr>
        <w:pStyle w:val="Heading2"/>
        <w:spacing w:after="120" w:before="200"/>
      </w:pPr>
      <w:r>
        <w:t xml:space="preserve">Block 9: Cost Structure</w:t>
      </w:r>
    </w:p>
    <w:p>
      <w:pPr>
        <w:spacing w:after="120"/>
      </w:pPr>
      <w:r>
        <w:rPr>
          <w:b/>
          <w:bCs/>
        </w:rPr>
        <w:t xml:space="preserve">Model type: </w:t>
      </w:r>
      <w:r>
        <w:t xml:space="preserve">Value-driven SaaS — premium pricing for speed and reliability, not cheapest in market.</w:t>
      </w:r>
    </w:p>
    <w:p>
      <w:pPr>
        <w:spacing w:after="120"/>
      </w:pPr>
      <w:r>
        <w:rPr>
          <w:b/>
          <w:bCs/>
        </w:rPr>
        <w:t xml:space="preserve">Fixed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Item</w:t>
            </w:r>
          </w:p>
        </w:tc>
        <w:tc>
          <w:tcPr>
            <w:tcW w:type="dxa" w:w="30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KSh</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Developer salaries (2 developers)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120,000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Sales/Agent Relations Manager</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60,000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Founder salary (deferred as sweat equity)</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Cloud hosting (AWS/GCP)</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15,000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Software licences (CRM, support tools)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8,000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Office / co-working space</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15,000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Marketing (ongoing)</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17,000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Legal &amp; compliance retainer</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15,000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Miscellaneous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4,000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Total Monthly Fixed Cost</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254,000</w:t>
            </w:r>
          </w:p>
        </w:tc>
      </w:tr>
    </w:tbl>
    <w:p>
      <w:pPr>
        <w:spacing w:after="120"/>
      </w:pPr>
      <w:r>
        <w:t xml:space="preserve"/>
      </w:r>
    </w:p>
    <w:p>
      <w:pPr>
        <w:spacing w:after="120"/>
      </w:pPr>
      <w:r>
        <w:rPr>
          <w:b/>
          <w:bCs/>
        </w:rPr>
        <w:t xml:space="preserve">Start-Up (One-Time)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Item</w:t>
            </w:r>
          </w:p>
        </w:tc>
        <w:tc>
          <w:tcPr>
            <w:tcW w:type="dxa" w:w="30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KSh</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Platform development (MVP)</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400,000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Legal and regulatory compliance</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80,000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First 3 insurer API integrations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150,000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Branding, domain, design</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30,000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Marketing launch campaign</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50,000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Contingency (10%)</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71,000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Total Start-Up Cost</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781,000</w:t>
            </w:r>
          </w:p>
        </w:tc>
      </w:tr>
    </w:tbl>
    <w:p>
      <w:pPr>
        <w:spacing w:after="120"/>
      </w:pPr>
      <w:r>
        <w:rPr>
          <w:b/>
          <w:bCs/>
          <w:i/>
          <w:iCs/>
        </w:rPr>
        <w:t xml:space="preserve">Reconciliation note: </w:t>
      </w:r>
      <w:r>
        <w:rPr>
          <w:i/>
          <w:iCs/>
        </w:rPr>
        <w:t xml:space="preserve">The KSh 800,000 ask covers the KSh 781,000 start-up cost plus KSh 19,000 toward month-1 operating runway.</w:t>
      </w:r>
    </w:p>
    <w:p>
      <w:pPr>
        <w:pStyle w:val="Heading1"/>
        <w:pageBreakBefore/>
        <w:spacing w:after="200" w:before="240"/>
      </w:pPr>
      <w:r>
        <w:t xml:space="preserve">4. Business and Industry Profile</w:t>
      </w:r>
    </w:p>
    <w:p>
      <w:pPr>
        <w:pStyle w:val="Heading2"/>
        <w:spacing w:after="120" w:before="200"/>
      </w:pPr>
      <w:r>
        <w:t xml:space="preserve">Industry Overview</w:t>
      </w:r>
    </w:p>
    <w:p>
      <w:pPr>
        <w:spacing w:after="120"/>
      </w:pPr>
      <w:r>
        <w:t xml:space="preserve">The Kenyan insurance industry is regulated by the Insurance Regulatory Authority (IRA). Per the IRA Annual Report 2023, Kenya has approximately 55 licensed insurance companies, approximately 4,500 licensed insurance agents, and approximately 250 brokerage firms. Penetration stands at approximately 2.43% of GDP — among the higher rates in Sub-Saharan Africa but well below the ~7% global average, indicating sustained growth headroom.</w:t>
      </w:r>
    </w:p>
    <w:p>
      <w:pPr>
        <w:spacing w:after="120"/>
      </w:pPr>
      <w:r>
        <w:t xml:space="preserve">Digitisation is accelerating on the insurer side (online portals, mobile apps), but the agent-side quoting process remains manual and email-based. No dominant multi-insurer quoting platform currently serves Kenyan agents. This is the gap Super Agent fills.</w:t>
      </w:r>
    </w:p>
    <w:p>
      <w:pPr>
        <w:spacing w:after="120"/>
      </w:pPr>
      <w:r>
        <w:rPr>
          <w:i/>
          <w:iCs/>
          <w:color w:val="000000"/>
        </w:rPr>
        <w:t xml:space="preserve">(Statistics to be confirmed against the latest IRA Annual Report in the appendix.)</w:t>
      </w:r>
    </w:p>
    <w:p>
      <w:pPr>
        <w:pStyle w:val="Heading2"/>
        <w:spacing w:after="120" w:before="200"/>
      </w:pPr>
      <w:r>
        <w:t xml:space="preserve">Porter's Five Forces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Force</w:t>
            </w:r>
          </w:p>
        </w:tc>
        <w:tc>
          <w:tcPr>
            <w:tcW w:type="dxa" w:w="14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Rating</w:t>
            </w:r>
          </w:p>
        </w:tc>
        <w:tc>
          <w:tcPr>
            <w:tcW w:type="dxa" w:w="5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Explanation</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Threat of New Entrants</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Medium</w:t>
            </w:r>
          </w:p>
        </w:tc>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Technical development and insurer partnerships create moderate barriers. A funded competitor could replicate within 12–18 months.</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Bargaining Power of Suppliers (Insurers)</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Medium</w:t>
            </w:r>
          </w:p>
        </w:tc>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Insurers initially hold leverage over integration terms; power decreases as platform usage grows and they compete for listings.</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Bargaining Power of Buyers (Agents)</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Medium</w:t>
            </w:r>
          </w:p>
        </w:tc>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Agents face low switching costs initially; CRM lock-in and habit build stickiness over time.</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Threat of Substitutes</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Medium</w:t>
            </w:r>
          </w:p>
        </w:tc>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Manual email quoting is free but slow; WhatsApp-based group quoting is informal but familiar.</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Competitive Rivalry</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Low–Medium</w:t>
            </w:r>
          </w:p>
        </w:tc>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No direct local competitor; regional/international players (e.g., Riskcovry in India, Naked in South Africa) serve different markets.</w:t>
            </w:r>
          </w:p>
        </w:tc>
      </w:tr>
    </w:tbl>
    <w:p>
      <w:pPr>
        <w:spacing w:after="120"/>
      </w:pPr>
      <w:r>
        <w:t xml:space="preserve"/>
      </w:r>
    </w:p>
    <w:p>
      <w:pPr>
        <w:spacing w:after="120"/>
      </w:pPr>
      <w:r>
        <w:rPr>
          <w:b/>
          <w:bCs/>
        </w:rPr>
        <w:t xml:space="preserve">Verdict: </w:t>
      </w:r>
      <w:r>
        <w:t xml:space="preserve">The industry is attractive for Super Agent. Absence of a direct competitor, growing agent digitisation needs, and IRA's digital push create first-mover opportunity. Speed to insurer integrations and rapid build-out of CRM-based switching costs are essential to sustain the position.</w:t>
      </w:r>
    </w:p>
    <w:p>
      <w:pPr>
        <w:pStyle w:val="Heading1"/>
        <w:pageBreakBefore/>
        <w:spacing w:after="200" w:before="240"/>
      </w:pPr>
      <w:r>
        <w:t xml:space="preserve">5. Product / Service Description</w:t>
      </w:r>
    </w:p>
    <w:p>
      <w:pPr>
        <w:pStyle w:val="Heading2"/>
        <w:spacing w:after="120" w:before="200"/>
      </w:pPr>
      <w:r>
        <w:t xml:space="preserve">Core Product: Super Agent Platform</w:t>
      </w:r>
    </w:p>
    <w:p>
      <w:pPr>
        <w:spacing w:after="120"/>
      </w:pPr>
      <w:r>
        <w:t xml:space="preserve">Cloud-based, multi-insurer quotation and agent management workstation.</w:t>
      </w:r>
    </w:p>
    <w:p>
      <w:pPr>
        <w:pStyle w:val="Heading3"/>
        <w:spacing w:after="100" w:before="160"/>
      </w:pPr>
      <w:r>
        <w:t xml:space="preserve">MVP Features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Feature</w:t>
            </w:r>
          </w:p>
        </w:tc>
        <w:tc>
          <w:tcPr>
            <w:tcW w:type="dxa" w:w="61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Description</w:t>
            </w:r>
          </w:p>
        </w:tc>
      </w:tr>
      <w:tr>
        <w:trPr>
          <w:tblHeader w:val="false"/>
        </w:trPr>
        <w:tc>
          <w:tcPr>
            <w:tcW w:type="dxa" w:w="3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Multi-Insurer Quote Engine</w:t>
            </w:r>
          </w:p>
        </w:tc>
        <w:tc>
          <w:tcPr>
            <w:tcW w:type="dxa" w:w="6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Single input; parallel real-time queries to all integrated insurers</w:t>
            </w:r>
          </w:p>
        </w:tc>
      </w:tr>
      <w:tr>
        <w:trPr>
          <w:tblHeader w:val="false"/>
        </w:trPr>
        <w:tc>
          <w:tcPr>
            <w:tcW w:type="dxa" w:w="3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Side-by-Side Comparison</w:t>
            </w:r>
          </w:p>
        </w:tc>
        <w:tc>
          <w:tcPr>
            <w:tcW w:type="dxa" w:w="6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Sort/filter by price, coverage, insurer rating</w:t>
            </w:r>
          </w:p>
        </w:tc>
      </w:tr>
      <w:tr>
        <w:trPr>
          <w:tblHeader w:val="false"/>
        </w:trPr>
        <w:tc>
          <w:tcPr>
            <w:tcW w:type="dxa" w:w="3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Branded PDF Quote Generator</w:t>
            </w:r>
          </w:p>
        </w:tc>
        <w:tc>
          <w:tcPr>
            <w:tcW w:type="dxa" w:w="6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Professional output with agent's logo and contact details</w:t>
            </w:r>
          </w:p>
        </w:tc>
      </w:tr>
      <w:tr>
        <w:trPr>
          <w:tblHeader w:val="false"/>
        </w:trPr>
        <w:tc>
          <w:tcPr>
            <w:tcW w:type="dxa" w:w="3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Client CRM</w:t>
            </w:r>
          </w:p>
        </w:tc>
        <w:tc>
          <w:tcPr>
            <w:tcW w:type="dxa" w:w="6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Client records, quote history, renewal reminders</w:t>
            </w:r>
          </w:p>
        </w:tc>
      </w:tr>
      <w:tr>
        <w:trPr>
          <w:tblHeader w:val="false"/>
        </w:trPr>
        <w:tc>
          <w:tcPr>
            <w:tcW w:type="dxa" w:w="3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Policy Lines Supported</w:t>
            </w:r>
          </w:p>
        </w:tc>
        <w:tc>
          <w:tcPr>
            <w:tcW w:type="dxa" w:w="6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Motor (comprehensive &amp; third-party), medical/health, travel</w:t>
            </w:r>
          </w:p>
        </w:tc>
      </w:tr>
      <w:tr>
        <w:trPr>
          <w:tblHeader w:val="false"/>
        </w:trPr>
        <w:tc>
          <w:tcPr>
            <w:tcW w:type="dxa" w:w="3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Insurer Product Dashboard</w:t>
            </w:r>
          </w:p>
        </w:tc>
        <w:tc>
          <w:tcPr>
            <w:tcW w:type="dxa" w:w="6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Portal for insurers to update rates and product details</w:t>
            </w:r>
          </w:p>
        </w:tc>
      </w:tr>
      <w:tr>
        <w:trPr>
          <w:tblHeader w:val="false"/>
        </w:trPr>
        <w:tc>
          <w:tcPr>
            <w:tcW w:type="dxa" w:w="3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WhatsApp Quote Sharing</w:t>
            </w:r>
          </w:p>
        </w:tc>
        <w:tc>
          <w:tcPr>
            <w:tcW w:type="dxa" w:w="61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One-click sharing via WhatsApp Business API</w:t>
            </w:r>
          </w:p>
        </w:tc>
      </w:tr>
    </w:tbl>
    <w:p>
      <w:pPr>
        <w:spacing w:after="120"/>
      </w:pPr>
      <w:r>
        <w:t xml:space="preserve"/>
      </w:r>
    </w:p>
    <w:p>
      <w:pPr>
        <w:spacing w:after="120"/>
      </w:pPr>
      <w:r>
        <w:rPr>
          <w:b/>
          <w:bCs/>
        </w:rPr>
        <w:t xml:space="preserve">Phase 2–3 Roadmap: </w:t>
      </w:r>
      <w:r>
        <w:t xml:space="preserve">Life and pension products; policy endorsement and claims initiation; agent commission tracking; corporate self-service portal; AI-driven product recommendation engine.</w:t>
      </w:r>
    </w:p>
    <w:p>
      <w:pPr>
        <w:pStyle w:val="Heading1"/>
        <w:pageBreakBefore/>
        <w:spacing w:after="200" w:before="240"/>
      </w:pPr>
      <w:r>
        <w:t xml:space="preserve">6. Value Proposition Statement</w:t>
      </w:r>
    </w:p>
    <w:p>
      <w:pPr>
        <w:spacing w:after="120"/>
      </w:pPr>
      <w:r>
        <w:t xml:space="preserve">A structured value proposition must answer five questions (Kotler &amp; Armstrong, 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Question</w:t>
            </w:r>
          </w:p>
        </w:tc>
        <w:tc>
          <w:tcPr>
            <w:tcW w:type="dxa" w:w="6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Super Agent's Answer</w:t>
            </w:r>
          </w:p>
        </w:tc>
      </w:tr>
      <w:tr>
        <w:trPr>
          <w:tblHeader w:val="false"/>
        </w:trP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Who is our target market?</w:t>
            </w:r>
          </w:p>
        </w:tc>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Licensed insurance agents and brokerage firms in Kenya serving individual and SME clients for motor, health, and travel cover (MVP), expanding to life and pension.</w:t>
            </w:r>
          </w:p>
        </w:tc>
      </w:tr>
      <w:tr>
        <w:trPr>
          <w:tblHeader w:val="false"/>
        </w:trP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What current options exist?</w:t>
            </w:r>
          </w:p>
        </w:tc>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Manual email/phone quoting to multiple insurers; individual insurer portals (single-insurer only); WhatsApp informal channels; Excel comparison sheets.</w:t>
            </w:r>
          </w:p>
        </w:tc>
      </w:tr>
      <w:tr>
        <w:trPr>
          <w:tblHeader w:val="false"/>
        </w:trP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What do we offer?</w:t>
            </w:r>
          </w:p>
        </w:tc>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 one-stop SaaS platform producing real-time, side-by-side, branded multi-insurer quotations in under 60 seconds, with integrated CRM for client and renewal management.</w:t>
            </w:r>
          </w:p>
        </w:tc>
      </w:tr>
      <w:tr>
        <w:trPr>
          <w:tblHeader w:val="false"/>
        </w:trP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What key problem does it solve?</w:t>
            </w:r>
          </w:p>
        </w:tc>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The 2–4 hour-per-client manual quote-gathering process that costs agents time, conversions, and professional standing — made worse by manual comparison errors.</w:t>
            </w:r>
          </w:p>
        </w:tc>
      </w:tr>
      <w:tr>
        <w:trPr>
          <w:tblHeader w:val="false"/>
        </w:trPr>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Why is it better than alternatives?</w:t>
            </w:r>
          </w:p>
        </w:tc>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 The only multi-insurer platform for Kenyan agents; (ii) real-time rather than batch; (iii) built-in compliance-ready PDF output; (iv) CRM lock-in keeps client history accessible; (v) mobile access for field agents.</w:t>
            </w:r>
          </w:p>
        </w:tc>
      </w:tr>
    </w:tbl>
    <w:p>
      <w:pPr>
        <w:pStyle w:val="Heading1"/>
        <w:pageBreakBefore/>
        <w:spacing w:after="200" w:before="240"/>
      </w:pPr>
      <w:r>
        <w:t xml:space="preserve">7.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2000"/>
        <w:gridCol w:w="206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Competitor</w:t>
            </w:r>
          </w:p>
        </w:tc>
        <w:tc>
          <w:tcPr>
            <w:tcW w:type="dxa" w:w="15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Type</w:t>
            </w:r>
          </w:p>
        </w:tc>
        <w:tc>
          <w:tcPr>
            <w:tcW w:type="dxa" w:w="20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Their Strength</w:t>
            </w:r>
          </w:p>
        </w:tc>
        <w:tc>
          <w:tcPr>
            <w:tcW w:type="dxa" w:w="20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Their Weakness</w:t>
            </w:r>
          </w:p>
        </w:tc>
        <w:tc>
          <w:tcPr>
            <w:tcW w:type="dxa" w:w="20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Our Advantage</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Email quoting (status quo)</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Process</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Free, familiar</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Slow, error-prone, unprofessional</w:t>
            </w:r>
          </w:p>
        </w:tc>
        <w:tc>
          <w:tcPr>
            <w:tcW w:type="dxa" w:w="20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Speed, professionalism, auditability</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Individual insurer portals</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Internal tool</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Free, direct</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Single-insurer only</w:t>
            </w:r>
          </w:p>
        </w:tc>
        <w:tc>
          <w:tcPr>
            <w:tcW w:type="dxa" w:w="20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Multi-insurer in one view</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Jubilee, AAR agent portals</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Insurer-specific</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Deep insurer integration</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Not multi-insurer</w:t>
            </w:r>
          </w:p>
        </w:tc>
        <w:tc>
          <w:tcPr>
            <w:tcW w:type="dxa" w:w="20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All insurers in one platform</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Riskcovry (India)</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B2B insurtech</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Mature tech, well-funded</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Not in Kenya; not local compliance</w:t>
            </w:r>
          </w:p>
        </w:tc>
        <w:tc>
          <w:tcPr>
            <w:tcW w:type="dxa" w:w="20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Local compliance, rates, relationships</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WhatsApp quote groups</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Informal</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Fast, social</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Inconsistent, no documentation</w:t>
            </w:r>
          </w:p>
        </w:tc>
        <w:tc>
          <w:tcPr>
            <w:tcW w:type="dxa" w:w="20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Structured, branded, auditable</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Excel comparison sheets</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Manual</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Flexible</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Manual, stale data</w:t>
            </w:r>
          </w:p>
        </w:tc>
        <w:tc>
          <w:tcPr>
            <w:tcW w:type="dxa" w:w="20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Automated, real-time</w:t>
            </w:r>
          </w:p>
        </w:tc>
      </w:tr>
    </w:tbl>
    <w:p>
      <w:pPr>
        <w:spacing w:after="120"/>
      </w:pPr>
      <w:r>
        <w:t xml:space="preserve"/>
      </w:r>
    </w:p>
    <w:p>
      <w:pPr>
        <w:pStyle w:val="Heading2"/>
        <w:spacing w:after="120" w:before="200"/>
      </w:pPr>
      <w:r>
        <w:t xml:space="preserve">Positioning Statement</w:t>
      </w:r>
    </w:p>
    <w:p>
      <w:pPr>
        <w:spacing w:after="120"/>
      </w:pPr>
      <w:r>
        <w:rPr>
          <w:i/>
          <w:iCs/>
        </w:rPr>
        <w:t xml:space="preserve">"For the 4,500+ licensed insurance agents in Kenya who currently lose 2–4 hours per client to manual multi-insurer quoting, Super Agent is the only cloud-based workstation that delivers real-time, side-by-side insurer comparisons with integrated CRM — unlike email, single-insurer portals, or WhatsApp groups, which are slow, siloed, or unstructured."</w:t>
      </w:r>
    </w:p>
    <w:p>
      <w:pPr>
        <w:pStyle w:val="Heading1"/>
        <w:pageBreakBefore/>
        <w:spacing w:after="200" w:before="240"/>
      </w:pPr>
      <w:r>
        <w:t xml:space="preserve">8. SWOT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Strengths</w:t>
            </w:r>
          </w:p>
        </w:tc>
        <w:tc>
          <w:tcPr>
            <w:tcW w:type="dxa" w:w="468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Weaknesses</w:t>
            </w:r>
          </w:p>
        </w:tc>
      </w:tr>
      <w:tr>
        <w:trPr>
          <w:tblHeader w:val="false"/>
        </w:trPr>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b w:val="false"/>
                <w:bCs w:val="false"/>
                <w:sz w:val="22"/>
                <w:szCs w:val="22"/>
              </w:rPr>
              <w:t xml:space="preserve">First-mover in Kenya's multi-insurer agent platform space</w:t>
            </w:r>
          </w:p>
          <w:p>
            <w:pPr>
              <w:spacing w:after="40"/>
            </w:pPr>
            <w:r>
              <w:rPr>
                <w:b w:val="false"/>
                <w:bCs w:val="false"/>
                <w:sz w:val="22"/>
                <w:szCs w:val="22"/>
              </w:rPr>
              <w:t xml:space="preserve">Clear, quantifiable value proposition (4 hours to 60 seconds)</w:t>
            </w:r>
          </w:p>
          <w:p>
            <w:pPr>
              <w:spacing w:after="40"/>
            </w:pPr>
            <w:r>
              <w:rPr>
                <w:b w:val="false"/>
                <w:bCs w:val="false"/>
                <w:sz w:val="22"/>
                <w:szCs w:val="22"/>
              </w:rPr>
              <w:t xml:space="preserve">Low marginal cost SaaS model; high gross margins at scale</w:t>
            </w:r>
          </w:p>
          <w:p>
            <w:pPr>
              <w:spacing w:after="40"/>
            </w:pPr>
            <w:r>
              <w:rPr>
                <w:b w:val="false"/>
                <w:bCs w:val="false"/>
                <w:sz w:val="22"/>
                <w:szCs w:val="22"/>
              </w:rPr>
              <w:t xml:space="preserve">Two-sided marketplace with network effects</w:t>
            </w:r>
          </w:p>
          <w:p>
            <w:pPr>
              <w:spacing w:after="40"/>
            </w:pPr>
            <w:r>
              <w:rPr>
                <w:b w:val="false"/>
                <w:bCs w:val="false"/>
                <w:sz w:val="22"/>
                <w:szCs w:val="22"/>
              </w:rPr>
              <w:t xml:space="preserve">Technical founder with direct execution capability</w:t>
            </w:r>
          </w:p>
        </w:tc>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b w:val="false"/>
                <w:bCs w:val="false"/>
                <w:sz w:val="22"/>
                <w:szCs w:val="22"/>
              </w:rPr>
              <w:t xml:space="preserve">Pre-revenue with no operating track record</w:t>
            </w:r>
          </w:p>
          <w:p>
            <w:pPr>
              <w:spacing w:after="40"/>
            </w:pPr>
            <w:r>
              <w:rPr>
                <w:b w:val="false"/>
                <w:bCs w:val="false"/>
                <w:sz w:val="22"/>
                <w:szCs w:val="22"/>
              </w:rPr>
              <w:t xml:space="preserve">Dependent on insurer cooperation for API access</w:t>
            </w:r>
          </w:p>
          <w:p>
            <w:pPr>
              <w:spacing w:after="40"/>
            </w:pPr>
            <w:r>
              <w:rPr>
                <w:b w:val="false"/>
                <w:bCs w:val="false"/>
                <w:sz w:val="22"/>
                <w:szCs w:val="22"/>
              </w:rPr>
              <w:t xml:space="preserve">Limited initial marketing budget vs. established brands</w:t>
            </w:r>
          </w:p>
          <w:p>
            <w:pPr>
              <w:spacing w:after="40"/>
            </w:pPr>
            <w:r>
              <w:rPr>
                <w:b w:val="false"/>
                <w:bCs w:val="false"/>
                <w:sz w:val="22"/>
                <w:szCs w:val="22"/>
              </w:rPr>
              <w:t xml:space="preserve">Small founding team — bottlenecks on relationship building</w:t>
            </w:r>
          </w:p>
          <w:p>
            <w:pPr>
              <w:spacing w:after="40"/>
            </w:pPr>
            <w:r>
              <w:rPr>
                <w:b w:val="false"/>
                <w:bCs w:val="false"/>
                <w:sz w:val="22"/>
                <w:szCs w:val="22"/>
              </w:rPr>
              <w:t xml:space="preserve">No existing IRA or AIBK credentials; brand to be built</w:t>
            </w:r>
          </w:p>
        </w:tc>
      </w:tr>
      <w:tr>
        <w:trPr>
          <w:tblHeader w:val="false"/>
        </w:trPr>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Opportunities</w:t>
            </w:r>
          </w:p>
        </w:tc>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Threats</w:t>
            </w:r>
          </w:p>
        </w:tc>
      </w:tr>
      <w:tr>
        <w:trPr>
          <w:tblHeader w:val="false"/>
        </w:trPr>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b w:val="false"/>
                <w:bCs w:val="false"/>
                <w:sz w:val="22"/>
                <w:szCs w:val="22"/>
              </w:rPr>
              <w:t xml:space="preserve">IRA digital transformation agenda creates tailwinds</w:t>
            </w:r>
          </w:p>
          <w:p>
            <w:pPr>
              <w:spacing w:after="40"/>
            </w:pPr>
            <w:r>
              <w:rPr>
                <w:b w:val="false"/>
                <w:bCs w:val="false"/>
                <w:sz w:val="22"/>
                <w:szCs w:val="22"/>
              </w:rPr>
              <w:t xml:space="preserve">Kenya penetration growth (2.43% to global 7% headroom)</w:t>
            </w:r>
          </w:p>
          <w:p>
            <w:pPr>
              <w:spacing w:after="40"/>
            </w:pPr>
            <w:r>
              <w:rPr>
                <w:b w:val="false"/>
                <w:bCs w:val="false"/>
                <w:sz w:val="22"/>
                <w:szCs w:val="22"/>
              </w:rPr>
              <w:t xml:space="preserve">East African regional expansion (Uganda, Tanzania, Rwanda)</w:t>
            </w:r>
          </w:p>
          <w:p>
            <w:pPr>
              <w:spacing w:after="40"/>
            </w:pPr>
            <w:r>
              <w:rPr>
                <w:b w:val="false"/>
                <w:bCs w:val="false"/>
                <w:sz w:val="22"/>
                <w:szCs w:val="22"/>
              </w:rPr>
              <w:t xml:space="preserve">Product line expansion (life, pension, corporate B2B)</w:t>
            </w:r>
          </w:p>
          <w:p>
            <w:pPr>
              <w:spacing w:after="40"/>
            </w:pPr>
            <w:r>
              <w:rPr>
                <w:b w:val="false"/>
                <w:bCs w:val="false"/>
                <w:sz w:val="22"/>
                <w:szCs w:val="22"/>
              </w:rPr>
              <w:t xml:space="preserve">AI-driven product matching as future differentiator</w:t>
            </w:r>
          </w:p>
        </w:tc>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40"/>
            </w:pPr>
            <w:r>
              <w:rPr>
                <w:b w:val="false"/>
                <w:bCs w:val="false"/>
                <w:sz w:val="22"/>
                <w:szCs w:val="22"/>
              </w:rPr>
              <w:t xml:space="preserve">Insurers may build proprietary competing platforms</w:t>
            </w:r>
          </w:p>
          <w:p>
            <w:pPr>
              <w:spacing w:after="40"/>
            </w:pPr>
            <w:r>
              <w:rPr>
                <w:b w:val="false"/>
                <w:bCs w:val="false"/>
                <w:sz w:val="22"/>
                <w:szCs w:val="22"/>
              </w:rPr>
              <w:t xml:space="preserve">Well-funded foreign insurtech entering East Africa</w:t>
            </w:r>
          </w:p>
          <w:p>
            <w:pPr>
              <w:spacing w:after="40"/>
            </w:pPr>
            <w:r>
              <w:rPr>
                <w:b w:val="false"/>
                <w:bCs w:val="false"/>
                <w:sz w:val="22"/>
                <w:szCs w:val="22"/>
              </w:rPr>
              <w:t xml:space="preserve">Regulatory shifts affecting digital agent tools</w:t>
            </w:r>
          </w:p>
          <w:p>
            <w:pPr>
              <w:spacing w:after="40"/>
            </w:pPr>
            <w:r>
              <w:rPr>
                <w:b w:val="false"/>
                <w:bCs w:val="false"/>
                <w:sz w:val="22"/>
                <w:szCs w:val="22"/>
              </w:rPr>
              <w:t xml:space="preserve">Agent resistance to digital tools / slow adoption</w:t>
            </w:r>
          </w:p>
          <w:p>
            <w:pPr>
              <w:spacing w:after="40"/>
            </w:pPr>
            <w:r>
              <w:rPr>
                <w:b w:val="false"/>
                <w:bCs w:val="false"/>
                <w:sz w:val="22"/>
                <w:szCs w:val="22"/>
              </w:rPr>
              <w:t xml:space="preserve">Cybersecurity breach damaging trust and compliance standing</w:t>
            </w:r>
          </w:p>
        </w:tc>
      </w:tr>
    </w:tbl>
    <w:p>
      <w:pPr>
        <w:pStyle w:val="Heading1"/>
        <w:pageBreakBefore/>
        <w:spacing w:after="200" w:before="240"/>
      </w:pPr>
      <w:r>
        <w:t xml:space="preserve">9. Market Entry Strategy</w:t>
      </w:r>
    </w:p>
    <w:p>
      <w:pPr>
        <w:pStyle w:val="Heading2"/>
        <w:spacing w:after="120" w:before="200"/>
      </w:pPr>
      <w:r>
        <w:t xml:space="preserve">Phase 1 — MVP Build and Pilot (Months 1–6)</w:t>
      </w:r>
    </w:p>
    <w:p>
      <w:pPr>
        <w:pStyle w:val="ListParagraph"/>
        <w:numPr>
          <w:ilvl w:val="0"/>
          <w:numId w:val="2"/>
        </w:numPr>
        <w:spacing w:after="80"/>
      </w:pPr>
      <w:r>
        <w:t xml:space="preserve">Build core platform integrated with 3–5 insurers (motor and health MVP lines)</w:t>
      </w:r>
    </w:p>
    <w:p>
      <w:pPr>
        <w:pStyle w:val="ListParagraph"/>
        <w:numPr>
          <w:ilvl w:val="0"/>
          <w:numId w:val="2"/>
        </w:numPr>
        <w:spacing w:after="80"/>
      </w:pPr>
      <w:r>
        <w:t xml:space="preserve">Recruit 20–30 pilot agents via AIBK and founder network</w:t>
      </w:r>
    </w:p>
    <w:p>
      <w:pPr>
        <w:pStyle w:val="ListParagraph"/>
        <w:numPr>
          <w:ilvl w:val="0"/>
          <w:numId w:val="2"/>
        </w:numPr>
        <w:spacing w:after="80"/>
      </w:pPr>
      <w:r>
        <w:t xml:space="preserve">Free 90-day pilot to gather feedback, testimonials, and product-market validation</w:t>
      </w:r>
    </w:p>
    <w:p>
      <w:pPr>
        <w:pStyle w:val="ListParagraph"/>
        <w:numPr>
          <w:ilvl w:val="0"/>
          <w:numId w:val="2"/>
        </w:numPr>
        <w:spacing w:after="80"/>
      </w:pPr>
      <w:r>
        <w:t xml:space="preserve">Refine UX based on pilot feedback</w:t>
      </w:r>
    </w:p>
    <w:p>
      <w:pPr>
        <w:pStyle w:val="Heading2"/>
        <w:spacing w:after="120" w:before="200"/>
      </w:pPr>
      <w:r>
        <w:t xml:space="preserve">Phase 2 — Paid Launch (Months 7–12)</w:t>
      </w:r>
    </w:p>
    <w:p>
      <w:pPr>
        <w:pStyle w:val="ListParagraph"/>
        <w:numPr>
          <w:ilvl w:val="0"/>
          <w:numId w:val="2"/>
        </w:numPr>
        <w:spacing w:after="80"/>
      </w:pPr>
      <w:r>
        <w:t xml:space="preserve">Convert pilot agents to paying subscribers</w:t>
      </w:r>
    </w:p>
    <w:p>
      <w:pPr>
        <w:pStyle w:val="ListParagraph"/>
        <w:numPr>
          <w:ilvl w:val="0"/>
          <w:numId w:val="2"/>
        </w:numPr>
        <w:spacing w:after="80"/>
      </w:pPr>
      <w:r>
        <w:t xml:space="preserve">Launch targeted campaigns in Nairobi, Mombasa, Kisumu</w:t>
      </w:r>
    </w:p>
    <w:p>
      <w:pPr>
        <w:pStyle w:val="ListParagraph"/>
        <w:numPr>
          <w:ilvl w:val="0"/>
          <w:numId w:val="2"/>
        </w:numPr>
        <w:spacing w:after="80"/>
      </w:pPr>
      <w:r>
        <w:t xml:space="preserve">Onboard 5 more insurers (10 total)</w:t>
      </w:r>
    </w:p>
    <w:p>
      <w:pPr>
        <w:pStyle w:val="ListParagraph"/>
        <w:numPr>
          <w:ilvl w:val="0"/>
          <w:numId w:val="2"/>
        </w:numPr>
        <w:spacing w:after="80"/>
      </w:pPr>
      <w:r>
        <w:t xml:space="preserve">Introduce brokerage firm plans</w:t>
      </w:r>
    </w:p>
    <w:p>
      <w:pPr>
        <w:pStyle w:val="ListParagraph"/>
        <w:numPr>
          <w:ilvl w:val="0"/>
          <w:numId w:val="2"/>
        </w:numPr>
        <w:spacing w:after="80"/>
      </w:pPr>
      <w:r>
        <w:rPr>
          <w:b/>
          <w:bCs/>
        </w:rPr>
        <w:t xml:space="preserve">Target: </w:t>
      </w:r>
      <w:r>
        <w:t xml:space="preserve">130 paying agents by Month 12</w:t>
      </w:r>
    </w:p>
    <w:p>
      <w:pPr>
        <w:pStyle w:val="Heading2"/>
        <w:spacing w:after="120" w:before="200"/>
      </w:pPr>
      <w:r>
        <w:t xml:space="preserve">Phase 3 — Scale (Months 13–24)</w:t>
      </w:r>
    </w:p>
    <w:p>
      <w:pPr>
        <w:pStyle w:val="ListParagraph"/>
        <w:numPr>
          <w:ilvl w:val="0"/>
          <w:numId w:val="2"/>
        </w:numPr>
        <w:spacing w:after="80"/>
      </w:pPr>
      <w:r>
        <w:t xml:space="preserve">Expand nationwide to all major cities</w:t>
      </w:r>
    </w:p>
    <w:p>
      <w:pPr>
        <w:pStyle w:val="ListParagraph"/>
        <w:numPr>
          <w:ilvl w:val="0"/>
          <w:numId w:val="2"/>
        </w:numPr>
        <w:spacing w:after="80"/>
      </w:pPr>
      <w:r>
        <w:t xml:space="preserve">Add life and pension product lines</w:t>
      </w:r>
    </w:p>
    <w:p>
      <w:pPr>
        <w:pStyle w:val="ListParagraph"/>
        <w:numPr>
          <w:ilvl w:val="0"/>
          <w:numId w:val="2"/>
        </w:numPr>
        <w:spacing w:after="80"/>
      </w:pPr>
      <w:r>
        <w:t xml:space="preserve">Activate insurer listing-fee revenue model</w:t>
      </w:r>
    </w:p>
    <w:p>
      <w:pPr>
        <w:pStyle w:val="ListParagraph"/>
        <w:numPr>
          <w:ilvl w:val="0"/>
          <w:numId w:val="2"/>
        </w:numPr>
        <w:spacing w:after="80"/>
      </w:pPr>
      <w:r>
        <w:rPr>
          <w:b/>
          <w:bCs/>
        </w:rPr>
        <w:t xml:space="preserve">Target: </w:t>
      </w:r>
      <w:r>
        <w:t xml:space="preserve">500 agents, 20+ integrated insurers</w:t>
      </w:r>
    </w:p>
    <w:p>
      <w:pPr>
        <w:pStyle w:val="ListParagraph"/>
        <w:numPr>
          <w:ilvl w:val="0"/>
          <w:numId w:val="2"/>
        </w:numPr>
        <w:spacing w:after="80"/>
      </w:pPr>
      <w:r>
        <w:t xml:space="preserve">Begin East Africa expansion (Uganda, Tanzania)</w:t>
      </w:r>
    </w:p>
    <w:p>
      <w:pPr>
        <w:pStyle w:val="Heading1"/>
        <w:pageBreakBefore/>
        <w:spacing w:after="200" w:before="240"/>
      </w:pPr>
      <w:r>
        <w:t xml:space="preserve">10. Target Market — Segmentation, Targeting &amp; Positioning (STP)</w:t>
      </w:r>
    </w:p>
    <w:p>
      <w:pPr>
        <w:pStyle w:val="Heading2"/>
        <w:spacing w:after="120" w:before="200"/>
      </w:pPr>
      <w:r>
        <w:t xml:space="preserve">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Variable</w:t>
            </w:r>
          </w:p>
        </w:tc>
        <w:tc>
          <w:tcPr>
            <w:tcW w:type="dxa" w:w="378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Agent Segment</w:t>
            </w:r>
          </w:p>
        </w:tc>
        <w:tc>
          <w:tcPr>
            <w:tcW w:type="dxa" w:w="378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Insurer Segment</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Demographic</w:t>
            </w:r>
          </w:p>
        </w:tc>
        <w:tc>
          <w:tcPr>
            <w:tcW w:type="dxa" w:w="3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Licensed agents 25–55 yrs; brokerages 5–200 staff</w:t>
            </w:r>
          </w:p>
        </w:tc>
        <w:tc>
          <w:tcPr>
            <w:tcW w:type="dxa" w:w="3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IRA-licensed general/life insurers</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Geographic</w:t>
            </w:r>
          </w:p>
        </w:tc>
        <w:tc>
          <w:tcPr>
            <w:tcW w:type="dxa" w:w="3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Nairobi (60%), Mombasa (15%), other urban cities</w:t>
            </w:r>
          </w:p>
        </w:tc>
        <w:tc>
          <w:tcPr>
            <w:tcW w:type="dxa" w:w="3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Kenya-registered; regional offices</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Psychographic</w:t>
            </w:r>
          </w:p>
        </w:tc>
        <w:tc>
          <w:tcPr>
            <w:tcW w:type="dxa" w:w="3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Tech-comfortable, growth-focused, commission-driven</w:t>
            </w:r>
          </w:p>
        </w:tc>
        <w:tc>
          <w:tcPr>
            <w:tcW w:type="dxa" w:w="3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Innovation-oriented, open to digital distribution</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Behavioural</w:t>
            </w:r>
          </w:p>
        </w:tc>
        <w:tc>
          <w:tcPr>
            <w:tcW w:type="dxa" w:w="3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Currently email/phone quoting; frustrated by delays</w:t>
            </w:r>
          </w:p>
        </w:tc>
        <w:tc>
          <w:tcPr>
            <w:tcW w:type="dxa" w:w="3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Seeking digital agent channels; data-driven</w:t>
            </w:r>
          </w:p>
        </w:tc>
      </w:tr>
    </w:tbl>
    <w:p>
      <w:pPr>
        <w:pStyle w:val="Heading2"/>
        <w:spacing w:after="120" w:before="200"/>
      </w:pPr>
      <w:r>
        <w:t xml:space="preserve">Targeting</w:t>
      </w:r>
    </w:p>
    <w:p>
      <w:pPr>
        <w:spacing w:after="120"/>
      </w:pPr>
      <w:r>
        <w:rPr>
          <w:b/>
          <w:bCs/>
        </w:rPr>
        <w:t xml:space="preserve">Primary target (Year 1): </w:t>
      </w:r>
      <w:r>
        <w:t xml:space="preserve">Tech-adopting independent agents and small brokerage firms in Nairobi and Mombasa — the most accessible, least-resistant, highest-conversion early adopters.</w:t>
      </w:r>
    </w:p>
    <w:p>
      <w:pPr>
        <w:spacing w:after="120"/>
      </w:pPr>
      <w:r>
        <w:rPr>
          <w:b/>
          <w:bCs/>
        </w:rPr>
        <w:t xml:space="preserve">Secondary target (Year 1 H2): </w:t>
      </w:r>
      <w:r>
        <w:t xml:space="preserve">Mid-size brokerages (15–50 agents) where firm-wide adoption drives higher ARPU.</w:t>
      </w:r>
    </w:p>
    <w:p>
      <w:pPr>
        <w:spacing w:after="120"/>
      </w:pPr>
      <w:r>
        <w:rPr>
          <w:b/>
          <w:bCs/>
        </w:rPr>
        <w:t xml:space="preserve">Tertiary target (Year 2+): </w:t>
      </w:r>
      <w:r>
        <w:t xml:space="preserve">Bancassurance and corporate insurance brokers.</w:t>
      </w:r>
    </w:p>
    <w:p>
      <w:pPr>
        <w:pStyle w:val="Heading2"/>
        <w:spacing w:after="120" w:before="200"/>
      </w:pPr>
      <w:r>
        <w:t xml:space="preserve">Positioning</w:t>
      </w:r>
    </w:p>
    <w:p>
      <w:pPr>
        <w:spacing w:after="120"/>
      </w:pPr>
      <w:r>
        <w:rPr>
          <w:i/>
          <w:iCs/>
        </w:rPr>
        <w:t xml:space="preserve">"Super Agent is the only multi-insurer real-time quote-and-CRM platform for Kenyan insurance agents — turning 4 hours of manual quoting into 60 seconds of professional, comparable, IRA-compliant client-ready output."</w:t>
      </w:r>
    </w:p>
    <w:p>
      <w:pPr>
        <w:pStyle w:val="Heading2"/>
        <w:spacing w:after="120" w:before="200"/>
      </w:pPr>
      <w:r>
        <w:t xml:space="preserve">Market Size (TAM / SAM / SOM)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780"/>
        <w:gridCol w:w="278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Level</w:t>
            </w:r>
          </w:p>
        </w:tc>
        <w:tc>
          <w:tcPr>
            <w:tcW w:type="dxa" w:w="478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Description</w:t>
            </w:r>
          </w:p>
        </w:tc>
        <w:tc>
          <w:tcPr>
            <w:tcW w:type="dxa" w:w="278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Size</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TAM</w:t>
            </w:r>
          </w:p>
        </w:tc>
        <w:tc>
          <w:tcPr>
            <w:tcW w:type="dxa" w:w="4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All licensed insurance agents and brokers in Kenya</w:t>
            </w:r>
          </w:p>
        </w:tc>
        <w:tc>
          <w:tcPr>
            <w:tcW w:type="dxa" w:w="2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~4,500 agents; ~250 brokerages</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SAM</w:t>
            </w:r>
          </w:p>
        </w:tc>
        <w:tc>
          <w:tcPr>
            <w:tcW w:type="dxa" w:w="4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Tech-adopting agents in urban areas</w:t>
            </w:r>
          </w:p>
        </w:tc>
        <w:tc>
          <w:tcPr>
            <w:tcW w:type="dxa" w:w="2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~1,800 agents</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SOM (Year 1)</w:t>
            </w:r>
          </w:p>
        </w:tc>
        <w:tc>
          <w:tcPr>
            <w:tcW w:type="dxa" w:w="4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Early adopters reachable via AIBK and direct outreach</w:t>
            </w:r>
          </w:p>
        </w:tc>
        <w:tc>
          <w:tcPr>
            <w:tcW w:type="dxa" w:w="2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100–200 agents</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Revenue at SOM</w:t>
            </w:r>
          </w:p>
        </w:tc>
        <w:tc>
          <w:tcPr>
            <w:tcW w:type="dxa" w:w="4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150 agents × avg KSh 2,200/month</w:t>
            </w:r>
          </w:p>
        </w:tc>
        <w:tc>
          <w:tcPr>
            <w:tcW w:type="dxa" w:w="27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 330,000/month steady state</w:t>
            </w:r>
          </w:p>
        </w:tc>
      </w:tr>
    </w:tbl>
    <w:p>
      <w:pPr>
        <w:pStyle w:val="Heading1"/>
        <w:pageBreakBefore/>
        <w:spacing w:after="200" w:before="240"/>
      </w:pPr>
      <w:r>
        <w:t xml:space="preserve">11. Operations Plan</w:t>
      </w:r>
    </w:p>
    <w:p>
      <w:pPr>
        <w:spacing w:after="120"/>
      </w:pPr>
      <w:r>
        <w:rPr>
          <w:b/>
          <w:bCs/>
        </w:rPr>
        <w:t xml:space="preserve">Legal Structure: </w:t>
      </w:r>
      <w:r>
        <w:t xml:space="preserve">Private Limited Company (Ltd.), incorporated under the Companies Act (Kenya).</w:t>
      </w:r>
    </w:p>
    <w:p>
      <w:pPr>
        <w:pStyle w:val="Heading2"/>
        <w:spacing w:after="120" w:before="200"/>
      </w:pPr>
      <w:r>
        <w:t xml:space="preserve">Regulatory</w:t>
      </w:r>
    </w:p>
    <w:p>
      <w:pPr>
        <w:pStyle w:val="ListParagraph"/>
        <w:numPr>
          <w:ilvl w:val="0"/>
          <w:numId w:val="2"/>
        </w:numPr>
        <w:spacing w:after="80"/>
      </w:pPr>
      <w:r>
        <w:t xml:space="preserve">ODPC registration under Kenya Data Protection Act 2019</w:t>
      </w:r>
    </w:p>
    <w:p>
      <w:pPr>
        <w:pStyle w:val="ListParagraph"/>
        <w:numPr>
          <w:ilvl w:val="0"/>
          <w:numId w:val="2"/>
        </w:numPr>
        <w:spacing w:after="80"/>
      </w:pPr>
      <w:r>
        <w:t xml:space="preserve">IRA engagement confirmed: platform operates as a tool for licensed agents, not as an intermediary itself — no insurance intermediary licence required (to be formally confirmed in writing)</w:t>
      </w:r>
    </w:p>
    <w:p>
      <w:pPr>
        <w:pStyle w:val="ListParagraph"/>
        <w:numPr>
          <w:ilvl w:val="0"/>
          <w:numId w:val="2"/>
        </w:numPr>
        <w:spacing w:after="80"/>
      </w:pPr>
      <w:r>
        <w:t xml:space="preserve">Future GDPR-aligned controls for any EU-linked clients</w:t>
      </w:r>
    </w:p>
    <w:p>
      <w:pPr>
        <w:pStyle w:val="Heading2"/>
        <w:spacing w:after="120" w:before="200"/>
      </w:pPr>
      <w:r>
        <w:t xml:space="preserve">Team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360"/>
        <w:gridCol w:w="2400"/>
      </w:tblGrid>
      <w:tr>
        <w:trPr>
          <w:tblHeader/>
        </w:trPr>
        <w:tc>
          <w:tcPr>
            <w:tcW w:type="dxa" w:w="36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Role</w:t>
            </w:r>
          </w:p>
        </w:tc>
        <w:tc>
          <w:tcPr>
            <w:tcW w:type="dxa" w:w="3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Type</w:t>
            </w:r>
          </w:p>
        </w:tc>
        <w:tc>
          <w:tcPr>
            <w:tcW w:type="dxa" w:w="24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Monthly Cost (KSh)</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Founder / CEO</w:t>
            </w:r>
          </w:p>
        </w:tc>
        <w:tc>
          <w:tcPr>
            <w:tcW w:type="dxa" w:w="3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Full-time (salary deferred)</w:t>
            </w:r>
          </w:p>
        </w:tc>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Sweat equity</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Backend Developer</w:t>
            </w:r>
          </w:p>
        </w:tc>
        <w:tc>
          <w:tcPr>
            <w:tcW w:type="dxa" w:w="3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Full-time</w:t>
            </w:r>
          </w:p>
        </w:tc>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70,000</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Frontend Developer</w:t>
            </w:r>
          </w:p>
        </w:tc>
        <w:tc>
          <w:tcPr>
            <w:tcW w:type="dxa" w:w="3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Full-time</w:t>
            </w:r>
          </w:p>
        </w:tc>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60,000</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Sales &amp; Agent Relations Manager</w:t>
            </w:r>
          </w:p>
        </w:tc>
        <w:tc>
          <w:tcPr>
            <w:tcW w:type="dxa" w:w="3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Full-time</w:t>
            </w:r>
          </w:p>
        </w:tc>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60,000</w:t>
            </w:r>
          </w:p>
        </w:tc>
      </w:tr>
      <w:tr>
        <w:trPr>
          <w:tblHeader w:val="false"/>
        </w:trPr>
        <w:tc>
          <w:tcPr>
            <w:tcW w:type="dxa" w:w="3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Legal / Compliance Consultant</w:t>
            </w:r>
          </w:p>
        </w:tc>
        <w:tc>
          <w:tcPr>
            <w:tcW w:type="dxa" w:w="3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Part-time retainer</w:t>
            </w:r>
          </w:p>
        </w:tc>
        <w:tc>
          <w:tcPr>
            <w:tcW w:type="dxa" w:w="2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15,000</w:t>
            </w:r>
          </w:p>
        </w:tc>
      </w:tr>
    </w:tbl>
    <w:p>
      <w:pPr>
        <w:pStyle w:val="Heading2"/>
        <w:spacing w:after="120" w:before="200"/>
      </w:pPr>
      <w:r>
        <w:t xml:space="preserve">Technology Stack</w:t>
      </w:r>
    </w:p>
    <w:p>
      <w:pPr>
        <w:pStyle w:val="ListParagraph"/>
        <w:numPr>
          <w:ilvl w:val="0"/>
          <w:numId w:val="2"/>
        </w:numPr>
        <w:spacing w:after="80"/>
      </w:pPr>
      <w:r>
        <w:t xml:space="preserve">Backend: Python (FastAPI) or Node.js — REST APIs</w:t>
      </w:r>
    </w:p>
    <w:p>
      <w:pPr>
        <w:pStyle w:val="ListParagraph"/>
        <w:numPr>
          <w:ilvl w:val="0"/>
          <w:numId w:val="2"/>
        </w:numPr>
        <w:spacing w:after="80"/>
      </w:pPr>
      <w:r>
        <w:t xml:space="preserve">Frontend: React.js (web), React Native (mobile)</w:t>
      </w:r>
    </w:p>
    <w:p>
      <w:pPr>
        <w:pStyle w:val="ListParagraph"/>
        <w:numPr>
          <w:ilvl w:val="0"/>
          <w:numId w:val="2"/>
        </w:numPr>
        <w:spacing w:after="80"/>
      </w:pPr>
      <w:r>
        <w:t xml:space="preserve">Database: PostgreSQL (primary), Redis (caching)</w:t>
      </w:r>
    </w:p>
    <w:p>
      <w:pPr>
        <w:pStyle w:val="ListParagraph"/>
        <w:numPr>
          <w:ilvl w:val="0"/>
          <w:numId w:val="2"/>
        </w:numPr>
        <w:spacing w:after="80"/>
      </w:pPr>
      <w:r>
        <w:t xml:space="preserve">Cloud: AWS (EC2, RDS, S3) or GCP</w:t>
      </w:r>
    </w:p>
    <w:p>
      <w:pPr>
        <w:pStyle w:val="ListParagraph"/>
        <w:numPr>
          <w:ilvl w:val="0"/>
          <w:numId w:val="2"/>
        </w:numPr>
        <w:spacing w:after="80"/>
      </w:pPr>
      <w:r>
        <w:t xml:space="preserve">Integrations: REST/SOAP insurer APIs; manual rate-table fallback</w:t>
      </w:r>
    </w:p>
    <w:p>
      <w:pPr>
        <w:pStyle w:val="ListParagraph"/>
        <w:numPr>
          <w:ilvl w:val="0"/>
          <w:numId w:val="2"/>
        </w:numPr>
        <w:spacing w:after="80"/>
      </w:pPr>
      <w:r>
        <w:t xml:space="preserve">Payments: Safaricom Daraja (M-Pesa), Stripe (cards)</w:t>
      </w:r>
    </w:p>
    <w:p>
      <w:pPr>
        <w:pStyle w:val="ListParagraph"/>
        <w:numPr>
          <w:ilvl w:val="0"/>
          <w:numId w:val="2"/>
        </w:numPr>
        <w:spacing w:after="80"/>
      </w:pPr>
      <w:r>
        <w:t xml:space="preserve">Communication: WhatsApp Business API, SendGrid</w:t>
      </w:r>
    </w:p>
    <w:p>
      <w:pPr>
        <w:pStyle w:val="Heading2"/>
        <w:spacing w:after="120" w:before="200"/>
      </w:pPr>
      <w:r>
        <w:t xml:space="preserve">Operations Flow</w:t>
      </w:r>
    </w:p>
    <w:p>
      <w:pPr>
        <w:pStyle w:val="ListParagraph"/>
        <w:numPr>
          <w:ilvl w:val="0"/>
          <w:numId w:val="3"/>
        </w:numPr>
        <w:spacing w:after="80"/>
      </w:pPr>
      <w:r>
        <w:t xml:space="preserve">Agent registers and subscribes</w:t>
      </w:r>
    </w:p>
    <w:p>
      <w:pPr>
        <w:pStyle w:val="ListParagraph"/>
        <w:numPr>
          <w:ilvl w:val="0"/>
          <w:numId w:val="3"/>
        </w:numPr>
        <w:spacing w:after="80"/>
      </w:pPr>
      <w:r>
        <w:t xml:space="preserve">Agent enters client details (cover type, profile, sum insured)</w:t>
      </w:r>
    </w:p>
    <w:p>
      <w:pPr>
        <w:pStyle w:val="ListParagraph"/>
        <w:numPr>
          <w:ilvl w:val="0"/>
          <w:numId w:val="3"/>
        </w:numPr>
        <w:spacing w:after="80"/>
      </w:pPr>
      <w:r>
        <w:t xml:space="preserve">Platform simultaneously queries all integrated insurer APIs</w:t>
      </w:r>
    </w:p>
    <w:p>
      <w:pPr>
        <w:pStyle w:val="ListParagraph"/>
        <w:numPr>
          <w:ilvl w:val="0"/>
          <w:numId w:val="3"/>
        </w:numPr>
        <w:spacing w:after="80"/>
      </w:pPr>
      <w:r>
        <w:t xml:space="preserve">Responses standardised and displayed in comparison table (10–30 seconds)</w:t>
      </w:r>
    </w:p>
    <w:p>
      <w:pPr>
        <w:pStyle w:val="ListParagraph"/>
        <w:numPr>
          <w:ilvl w:val="0"/>
          <w:numId w:val="3"/>
        </w:numPr>
        <w:spacing w:after="80"/>
      </w:pPr>
      <w:r>
        <w:t xml:space="preserve">Agent selects best option, generates branded PDF, shares via WhatsApp</w:t>
      </w:r>
    </w:p>
    <w:p>
      <w:pPr>
        <w:pStyle w:val="ListParagraph"/>
        <w:numPr>
          <w:ilvl w:val="0"/>
          <w:numId w:val="3"/>
        </w:numPr>
        <w:spacing w:after="80"/>
      </w:pPr>
      <w:r>
        <w:t xml:space="preserve">Client approves; agent binds policy directly with insurer</w:t>
      </w:r>
    </w:p>
    <w:p>
      <w:pPr>
        <w:pStyle w:val="ListParagraph"/>
        <w:numPr>
          <w:ilvl w:val="0"/>
          <w:numId w:val="3"/>
        </w:numPr>
        <w:spacing w:after="80"/>
      </w:pPr>
      <w:r>
        <w:t xml:space="preserve">Platform logs quote, updates CRM, sets renewal reminder</w:t>
      </w:r>
    </w:p>
    <w:p>
      <w:pPr>
        <w:pStyle w:val="Heading1"/>
        <w:pageBreakBefore/>
        <w:spacing w:after="200" w:before="240"/>
      </w:pPr>
      <w:r>
        <w:t xml:space="preserve">12. Marketing Plan (4Ps)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P</w:t>
            </w:r>
          </w:p>
        </w:tc>
        <w:tc>
          <w:tcPr>
            <w:tcW w:type="dxa" w:w="79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Strategy</w:t>
            </w:r>
          </w:p>
        </w:tc>
      </w:tr>
      <w:tr>
        <w:trPr>
          <w:tblHeader w:val="false"/>
        </w:trPr>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Product</w:t>
            </w:r>
          </w:p>
        </w:tc>
        <w:tc>
          <w:tcPr>
            <w:tcW w:type="dxa" w:w="79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Multi-insurer quote engine + CRM. Differentiated by speed (sub-60s), branded PDF output, IRA compliance, and ease of use. Free 14-day trial.</w:t>
            </w:r>
          </w:p>
        </w:tc>
      </w:tr>
      <w:tr>
        <w:trPr>
          <w:tblHeader w:val="false"/>
        </w:trPr>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Price</w:t>
            </w:r>
          </w:p>
        </w:tc>
        <w:tc>
          <w:tcPr>
            <w:tcW w:type="dxa" w:w="79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Tiered subscription: Starter KSh 1,500/month, Professional KSh 3,000/month, Brokerage KSh 20,000/month. Anchored to value — one extra policy closed per month repays the subscription many times over.</w:t>
            </w:r>
          </w:p>
        </w:tc>
      </w:tr>
      <w:tr>
        <w:trPr>
          <w:tblHeader w:val="false"/>
        </w:trPr>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Place</w:t>
            </w:r>
          </w:p>
        </w:tc>
        <w:tc>
          <w:tcPr>
            <w:tcW w:type="dxa" w:w="79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Cloud SaaS — any browser, anywhere in Kenya. Android mobile app for field agents. No physical presence required.</w:t>
            </w:r>
          </w:p>
        </w:tc>
      </w:tr>
      <w:tr>
        <w:trPr>
          <w:tblHeader w:val="false"/>
        </w:trPr>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Promotion</w:t>
            </w:r>
          </w:p>
        </w:tc>
        <w:tc>
          <w:tcPr>
            <w:tcW w:type="dxa" w:w="79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LinkedIn/Facebook ads targeting insurance professionals; AIBK and AIIK event presence; referral programme (1 month free per conversion); webinar demos; YouTube tutorials; agent WhatsApp groups.</w:t>
            </w:r>
          </w:p>
        </w:tc>
      </w:tr>
    </w:tbl>
    <w:p>
      <w:pPr>
        <w:spacing w:after="120"/>
      </w:pPr>
      <w:r>
        <w:t xml:space="preserve"/>
      </w:r>
    </w:p>
    <w:p>
      <w:pPr>
        <w:spacing w:after="120"/>
      </w:pPr>
      <w:r>
        <w:rPr>
          <w:b/>
          <w:bCs/>
        </w:rPr>
        <w:t xml:space="preserve">Sales Strategy: </w:t>
      </w:r>
      <w:r>
        <w:t xml:space="preserve">Product-led growth (PLG) for individual agents — free trial → self-serve conversion. Direct sales (top-down) for brokerage firms. Referral programme amplifies word-of-mouth.</w:t>
      </w:r>
    </w:p>
    <w:p>
      <w:pPr>
        <w:pStyle w:val="Heading1"/>
        <w:pageBreakBefore/>
        <w:spacing w:after="200" w:before="240"/>
      </w:pPr>
      <w:r>
        <w:t xml:space="preserve">13. Feasibility Analysis</w:t>
      </w:r>
    </w:p>
    <w:p>
      <w:pPr>
        <w:pStyle w:val="Heading2"/>
        <w:spacing w:after="120" w:before="200"/>
      </w:pPr>
      <w:r>
        <w:t xml:space="preserve">Market Feasibility — Strong</w:t>
      </w:r>
    </w:p>
    <w:p>
      <w:pPr>
        <w:pStyle w:val="ListParagraph"/>
        <w:numPr>
          <w:ilvl w:val="0"/>
          <w:numId w:val="2"/>
        </w:numPr>
        <w:spacing w:after="80"/>
      </w:pPr>
      <w:r>
        <w:t xml:space="preserve">4,500+ licensed agents form a clearly defined addressable market</w:t>
      </w:r>
    </w:p>
    <w:p>
      <w:pPr>
        <w:pStyle w:val="ListParagraph"/>
        <w:numPr>
          <w:ilvl w:val="0"/>
          <w:numId w:val="2"/>
        </w:numPr>
        <w:spacing w:after="80"/>
      </w:pPr>
      <w:r>
        <w:t xml:space="preserve">Pain point (slow manual quoting) is real and quantifiable</w:t>
      </w:r>
    </w:p>
    <w:p>
      <w:pPr>
        <w:pStyle w:val="ListParagraph"/>
        <w:numPr>
          <w:ilvl w:val="0"/>
          <w:numId w:val="2"/>
        </w:numPr>
        <w:spacing w:after="80"/>
      </w:pPr>
      <w:r>
        <w:t xml:space="preserve">No equivalent multi-insurer platform exists in Kenya — first-mover advantage</w:t>
      </w:r>
    </w:p>
    <w:p>
      <w:pPr>
        <w:pStyle w:val="ListParagraph"/>
        <w:numPr>
          <w:ilvl w:val="0"/>
          <w:numId w:val="2"/>
        </w:numPr>
        <w:spacing w:after="80"/>
      </w:pPr>
      <w:r>
        <w:t xml:space="preserve">IRA digital transformation agenda provides regulatory tailwind</w:t>
      </w:r>
    </w:p>
    <w:p>
      <w:pPr>
        <w:pStyle w:val="ListParagraph"/>
        <w:numPr>
          <w:ilvl w:val="0"/>
          <w:numId w:val="2"/>
        </w:numPr>
        <w:spacing w:after="80"/>
      </w:pPr>
      <w:r>
        <w:rPr>
          <w:b/>
          <w:bCs/>
        </w:rPr>
        <w:t xml:space="preserve">Risk: </w:t>
      </w:r>
      <w:r>
        <w:t xml:space="preserve">Addressable market is finite; expansion to Uganda/Tanzania needed for long-term growth</w:t>
      </w:r>
    </w:p>
    <w:p>
      <w:pPr>
        <w:pStyle w:val="Heading2"/>
        <w:spacing w:after="120" w:before="200"/>
      </w:pPr>
      <w:r>
        <w:t xml:space="preserve">Technical Feasibility — Strong</w:t>
      </w:r>
    </w:p>
    <w:p>
      <w:pPr>
        <w:pStyle w:val="ListParagraph"/>
        <w:numPr>
          <w:ilvl w:val="0"/>
          <w:numId w:val="2"/>
        </w:numPr>
        <w:spacing w:after="80"/>
      </w:pPr>
      <w:r>
        <w:t xml:space="preserve">Technology (REST APIs, React, cloud hosting) is mature and well-understood</w:t>
      </w:r>
    </w:p>
    <w:p>
      <w:pPr>
        <w:pStyle w:val="ListParagraph"/>
        <w:numPr>
          <w:ilvl w:val="0"/>
          <w:numId w:val="2"/>
        </w:numPr>
        <w:spacing w:after="80"/>
      </w:pPr>
      <w:r>
        <w:t xml:space="preserve">Global precedents exist (Go Compare UK, CoverHound USA) — concept is proven</w:t>
      </w:r>
    </w:p>
    <w:p>
      <w:pPr>
        <w:pStyle w:val="ListParagraph"/>
        <w:numPr>
          <w:ilvl w:val="0"/>
          <w:numId w:val="2"/>
        </w:numPr>
        <w:spacing w:after="80"/>
      </w:pPr>
      <w:r>
        <w:t xml:space="preserve">Two developers sufficient for MVP within 4–5 months</w:t>
      </w:r>
    </w:p>
    <w:p>
      <w:pPr>
        <w:pStyle w:val="ListParagraph"/>
        <w:numPr>
          <w:ilvl w:val="0"/>
          <w:numId w:val="2"/>
        </w:numPr>
        <w:spacing w:after="80"/>
      </w:pPr>
      <w:r>
        <w:rPr>
          <w:b/>
          <w:bCs/>
        </w:rPr>
        <w:t xml:space="preserve">Risk: </w:t>
      </w:r>
      <w:r>
        <w:t xml:space="preserve">Some insurers may lack modern APIs; mitigated via manual rate-table fallback, prioritising API-ready partners first</w:t>
      </w:r>
    </w:p>
    <w:p>
      <w:pPr>
        <w:pStyle w:val="Heading2"/>
        <w:spacing w:after="120" w:before="200"/>
      </w:pPr>
      <w:r>
        <w:t xml:space="preserve">Financial Feasibility — Moderate</w:t>
      </w:r>
    </w:p>
    <w:p>
      <w:pPr>
        <w:pStyle w:val="ListParagraph"/>
        <w:numPr>
          <w:ilvl w:val="0"/>
          <w:numId w:val="2"/>
        </w:numPr>
        <w:spacing w:after="80"/>
      </w:pPr>
      <w:r>
        <w:t xml:space="preserve">Strong unit economics (LTV:CAC approximately 20x)</w:t>
      </w:r>
    </w:p>
    <w:p>
      <w:pPr>
        <w:pStyle w:val="ListParagraph"/>
        <w:numPr>
          <w:ilvl w:val="0"/>
          <w:numId w:val="2"/>
        </w:numPr>
        <w:spacing w:after="80"/>
      </w:pPr>
      <w:r>
        <w:t xml:space="preserve">Low marginal cost per additional user — SaaS scales cheaply</w:t>
      </w:r>
    </w:p>
    <w:p>
      <w:pPr>
        <w:pStyle w:val="ListParagraph"/>
        <w:numPr>
          <w:ilvl w:val="0"/>
          <w:numId w:val="2"/>
        </w:numPr>
        <w:spacing w:after="80"/>
      </w:pPr>
      <w:r>
        <w:t xml:space="preserve">Break-even requires ~102 paying agents (Month 18–20)</w:t>
      </w:r>
    </w:p>
    <w:p>
      <w:pPr>
        <w:pStyle w:val="ListParagraph"/>
        <w:numPr>
          <w:ilvl w:val="0"/>
          <w:numId w:val="2"/>
        </w:numPr>
        <w:spacing w:after="80"/>
      </w:pPr>
      <w:r>
        <w:rPr>
          <w:b/>
          <w:bCs/>
        </w:rPr>
        <w:t xml:space="preserve">Risk: </w:t>
      </w:r>
      <w:r>
        <w:t xml:space="preserve">KSh 800K seed funds only the launch and first ~6 months of runway. A Series A (or bridge round) will be needed around Month 12–15 before break-even.</w:t>
      </w:r>
    </w:p>
    <w:p>
      <w:pPr>
        <w:pStyle w:val="Heading2"/>
        <w:spacing w:after="120" w:before="200"/>
      </w:pPr>
      <w:r>
        <w:t xml:space="preserve">Regulatory Feasibility — Moderate</w:t>
      </w:r>
    </w:p>
    <w:p>
      <w:pPr>
        <w:pStyle w:val="ListParagraph"/>
        <w:numPr>
          <w:ilvl w:val="0"/>
          <w:numId w:val="2"/>
        </w:numPr>
        <w:spacing w:after="80"/>
      </w:pPr>
      <w:r>
        <w:t xml:space="preserve">Platform is a tool for licensed agents, not an insurance intermediary — no insurance licence required (pending IRA written confirmation)</w:t>
      </w:r>
    </w:p>
    <w:p>
      <w:pPr>
        <w:pStyle w:val="ListParagraph"/>
        <w:numPr>
          <w:ilvl w:val="0"/>
          <w:numId w:val="2"/>
        </w:numPr>
        <w:spacing w:after="80"/>
      </w:pPr>
      <w:r>
        <w:t xml:space="preserve">ODPC data protection registration is straightforward</w:t>
      </w:r>
    </w:p>
    <w:p>
      <w:pPr>
        <w:pStyle w:val="ListParagraph"/>
        <w:numPr>
          <w:ilvl w:val="0"/>
          <w:numId w:val="2"/>
        </w:numPr>
        <w:spacing w:after="80"/>
      </w:pPr>
      <w:r>
        <w:rPr>
          <w:b/>
          <w:bCs/>
        </w:rPr>
        <w:t xml:space="preserve">Risk: </w:t>
      </w:r>
      <w:r>
        <w:t xml:space="preserve">Regulatory interpretation could shift; IRA relationship-building is a priority.</w:t>
      </w:r>
    </w:p>
    <w:p>
      <w:pPr>
        <w:pStyle w:val="Heading1"/>
        <w:pageBreakBefore/>
        <w:spacing w:after="200" w:before="240"/>
      </w:pPr>
      <w:r>
        <w:t xml:space="preserve">14. Risk Assessment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4360"/>
      </w:tblGrid>
      <w:tr>
        <w:trPr>
          <w:tblHeader/>
        </w:trPr>
        <w:tc>
          <w:tcPr>
            <w:tcW w:type="dxa" w:w="26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Risk</w:t>
            </w:r>
          </w:p>
        </w:tc>
        <w:tc>
          <w:tcPr>
            <w:tcW w:type="dxa" w:w="12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Likelihood</w:t>
            </w:r>
          </w:p>
        </w:tc>
        <w:tc>
          <w:tcPr>
            <w:tcW w:type="dxa" w:w="12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Impact</w:t>
            </w:r>
          </w:p>
        </w:tc>
        <w:tc>
          <w:tcPr>
            <w:tcW w:type="dxa" w:w="4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Mitigation</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Slow insurer API cooperation</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High</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High</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Start with 3 API-progressive insurers; manual rate-table fallback; phased integration roadmap</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Slow agent adoption in Months 1–6</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Medium</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High</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90-day free pilot; referral programme; AIBK partnership for credibility</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Cybersecurity incident</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Medium</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Critical</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Encryption at rest and in transit; SOC 2 readiness roadmap; cyber insurance; regular penetration testing</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Key developer departure</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Medium</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High</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Code documentation; cross-training; equity vesting over 4 years</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Well-funded competitor enters</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Medium</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Medium</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Speed to market; build switching costs (CRM lock-in, quote history); lock in exclusive insurer integrations where possible</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Regulatory shift</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Low</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High</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Active IRA engagement; retained legal counsel; quarterly compliance reviews</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Underfunding beyond Year 1</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Medium</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High</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Conservative burn management; Series A fundraise initiated Month 12</w:t>
            </w:r>
          </w:p>
        </w:tc>
      </w:tr>
      <w:tr>
        <w:trPr>
          <w:tblHeader w:val="false"/>
        </w:trPr>
        <w:tc>
          <w:tcPr>
            <w:tcW w:type="dxa" w:w="26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Insurer pulls API access</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Low</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Medium</w:t>
            </w:r>
          </w:p>
        </w:tc>
        <w:tc>
          <w:tcPr>
            <w:tcW w:type="dxa" w:w="4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Diversified insurer base (no single insurer &gt;25% of quote volume); strong contractual SLAs</w:t>
            </w:r>
          </w:p>
        </w:tc>
      </w:tr>
    </w:tbl>
    <w:p>
      <w:pPr>
        <w:pStyle w:val="Heading1"/>
        <w:pageBreakBefore/>
        <w:spacing w:after="200" w:before="240"/>
      </w:pPr>
      <w:r>
        <w:t xml:space="preserve">15. Projected Financial Statements</w:t>
      </w:r>
    </w:p>
    <w:p>
      <w:pPr>
        <w:pStyle w:val="Heading2"/>
        <w:spacing w:after="120" w:before="200"/>
      </w:pPr>
      <w:r>
        <w:t xml:space="preserve">15.1 Start-Up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Item</w:t>
            </w:r>
          </w:p>
        </w:tc>
        <w:tc>
          <w:tcPr>
            <w:tcW w:type="dxa" w:w="30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KSh</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Platform development (MVP — 5 months)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400,000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Legal incorporation and compliance</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80,000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Insurer API integrations (3 × KSh 50,000)</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150,000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Branding, design, domain, hosting setup</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30,000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Marketing launch campaign</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50,000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Contingency (10%)</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71,000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Total</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781,000</w:t>
            </w:r>
          </w:p>
        </w:tc>
      </w:tr>
    </w:tbl>
    <w:p>
      <w:pPr>
        <w:pStyle w:val="Heading2"/>
        <w:spacing w:after="120" w:before="200"/>
      </w:pPr>
      <w:r>
        <w:t xml:space="preserve">15.2 Revenue Projections (Year 1)</w:t>
      </w:r>
    </w:p>
    <w:p>
      <w:pPr>
        <w:spacing w:after="120"/>
      </w:pPr>
      <w:r>
        <w:t xml:space="preserve">Assumes linear agent ramp within each quarter and an average subscription price weighted between Starter and Professional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800"/>
        <w:gridCol w:w="1800"/>
        <w:gridCol w:w="1360"/>
      </w:tblGrid>
      <w:tr>
        <w:trPr>
          <w:tblHeader/>
        </w:trPr>
        <w:tc>
          <w:tcPr>
            <w:tcW w:type="dxa" w:w="18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Quarter</w:t>
            </w:r>
          </w:p>
        </w:tc>
        <w:tc>
          <w:tcPr>
            <w:tcW w:type="dxa" w:w="12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Avg Agents</w:t>
            </w:r>
          </w:p>
        </w:tc>
        <w:tc>
          <w:tcPr>
            <w:tcW w:type="dxa" w:w="14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Avg Sub (KSh)</w:t>
            </w:r>
          </w:p>
        </w:tc>
        <w:tc>
          <w:tcPr>
            <w:tcW w:type="dxa" w:w="18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Sub Revenue (3 mo)</w:t>
            </w:r>
          </w:p>
        </w:tc>
        <w:tc>
          <w:tcPr>
            <w:tcW w:type="dxa" w:w="18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Insurer Fees (3 mo)</w:t>
            </w:r>
          </w:p>
        </w:tc>
        <w:tc>
          <w:tcPr>
            <w:tcW w:type="dxa" w:w="1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Total (KSh)</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Q1 (M1–3, Pilot)</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0</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w:t>
            </w:r>
          </w:p>
        </w:tc>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0</w:t>
            </w:r>
          </w:p>
        </w:tc>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0</w:t>
            </w:r>
          </w:p>
        </w:tc>
        <w:tc>
          <w:tcPr>
            <w:tcW w:type="dxa" w:w="1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0</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Q2 (M4–6)</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15</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2,000</w:t>
            </w:r>
          </w:p>
        </w:tc>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90,000</w:t>
            </w:r>
          </w:p>
        </w:tc>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30,000</w:t>
            </w:r>
          </w:p>
        </w:tc>
        <w:tc>
          <w:tcPr>
            <w:tcW w:type="dxa" w:w="1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120,000</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Q3 (M7–9)</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52</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2,200</w:t>
            </w:r>
          </w:p>
        </w:tc>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343,200</w:t>
            </w:r>
          </w:p>
        </w:tc>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90,000</w:t>
            </w:r>
          </w:p>
        </w:tc>
        <w:tc>
          <w:tcPr>
            <w:tcW w:type="dxa" w:w="1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433,200</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Q4 (M10–12)</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102</w:t>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2,500</w:t>
            </w:r>
          </w:p>
        </w:tc>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765,000</w:t>
            </w:r>
          </w:p>
        </w:tc>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180,000</w:t>
            </w:r>
          </w:p>
        </w:tc>
        <w:tc>
          <w:tcPr>
            <w:tcW w:type="dxa" w:w="1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945,000</w:t>
            </w:r>
          </w:p>
        </w:tc>
      </w:tr>
      <w:tr>
        <w:trPr>
          <w:tblHeader w:val="false"/>
        </w:trP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Year 1 Total</w:t>
            </w:r>
          </w:p>
        </w:tc>
        <w:tc>
          <w:tcPr>
            <w:tcW w:type="dxa" w:w="1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
            </w:r>
          </w:p>
        </w:tc>
        <w:tc>
          <w:tcPr>
            <w:tcW w:type="dxa" w:w="14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
            </w:r>
          </w:p>
        </w:tc>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1,198,200</w:t>
            </w:r>
          </w:p>
        </w:tc>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300,000</w:t>
            </w:r>
          </w:p>
        </w:tc>
        <w:tc>
          <w:tcPr>
            <w:tcW w:type="dxa" w:w="1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1,498,200</w:t>
            </w:r>
          </w:p>
        </w:tc>
      </w:tr>
    </w:tbl>
    <w:p>
      <w:pPr>
        <w:spacing w:after="120"/>
      </w:pPr>
      <w:r>
        <w:t xml:space="preserve"/>
      </w:r>
    </w:p>
    <w:p>
      <w:pPr>
        <w:spacing w:after="120"/>
      </w:pPr>
      <w:r>
        <w:rPr>
          <w:i/>
          <w:iCs/>
        </w:rPr>
        <w:t xml:space="preserve">Exit-year run rate (Month 12): </w:t>
      </w:r>
      <w:r>
        <w:rPr>
          <w:i/>
          <w:iCs/>
        </w:rPr>
        <w:t xml:space="preserve">130 agents × KSh 2,500 + KSh 100,000 insurer = KSh 425,000/month.</w:t>
      </w:r>
    </w:p>
    <w:p>
      <w:pPr>
        <w:pStyle w:val="Heading2"/>
        <w:spacing w:after="120" w:before="200"/>
      </w:pPr>
      <w:r>
        <w:t xml:space="preserve">15.3 Projected Expenses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Category</w:t>
            </w:r>
          </w:p>
        </w:tc>
        <w:tc>
          <w:tcPr>
            <w:tcW w:type="dxa" w:w="30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KSh</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Developer salaries (2 × 12 months)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1,440,000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Sales manager (12 months)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720,000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Cloud hosting (12 months)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180,000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Office / co-working space (12 months)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180,000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Marketing (12 months)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200,000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Legal and compliance retainer (12 months)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180,000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Software licences and tools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96,000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Miscellaneous / contingency</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50,000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Total Year 1 Expenses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3,046,000</w:t>
            </w:r>
          </w:p>
        </w:tc>
      </w:tr>
    </w:tbl>
    <w:p>
      <w:pPr>
        <w:pStyle w:val="Heading2"/>
        <w:spacing w:after="120" w:before="200"/>
      </w:pPr>
      <w:r>
        <w:t xml:space="preserve">15.4 Profit and Loss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Item</w:t>
            </w:r>
          </w:p>
        </w:tc>
        <w:tc>
          <w:tcPr>
            <w:tcW w:type="dxa" w:w="30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KSh</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Seed capital raised</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800,000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Year 1 revenue</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1,498,200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Year 1 expenses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3,046,000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Year 1 Net Position</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(1,547,800)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Year 2 projected revenue (500 agents at avg KSh 2,500)</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~12,000,000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Projected Break-Even</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Month 18–20</w:t>
            </w:r>
          </w:p>
        </w:tc>
      </w:tr>
    </w:tbl>
    <w:p>
      <w:pPr>
        <w:spacing w:after="120"/>
      </w:pPr>
      <w:r>
        <w:t xml:space="preserve"/>
      </w:r>
    </w:p>
    <w:p>
      <w:pPr>
        <w:spacing w:after="120"/>
      </w:pPr>
      <w:r>
        <w:rPr>
          <w:i/>
          <w:iCs/>
        </w:rPr>
        <w:t xml:space="preserve">Year 1 operates at a planned loss — standard for early-stage SaaS during build and customer acquisition. Funded by seed capital plus a planned Series A / bridge round in Month 12–15.</w:t>
      </w:r>
    </w:p>
    <w:p>
      <w:pPr>
        <w:pStyle w:val="Heading2"/>
        <w:spacing w:after="120" w:before="200"/>
      </w:pPr>
      <w:r>
        <w:t xml:space="preserve">15.5 Break-Even Analysis</w:t>
      </w:r>
    </w:p>
    <w:p>
      <w:pPr>
        <w:pStyle w:val="ListParagraph"/>
        <w:numPr>
          <w:ilvl w:val="0"/>
          <w:numId w:val="2"/>
        </w:numPr>
        <w:spacing w:after="80"/>
      </w:pPr>
      <w:r>
        <w:t xml:space="preserve">Total monthly operating cost (post-MVP, steady state): approximately KSh 254,000</w:t>
      </w:r>
    </w:p>
    <w:p>
      <w:pPr>
        <w:pStyle w:val="ListParagraph"/>
        <w:numPr>
          <w:ilvl w:val="0"/>
          <w:numId w:val="2"/>
        </w:numPr>
        <w:spacing w:after="80"/>
      </w:pPr>
      <w:r>
        <w:t xml:space="preserve">Average revenue per agent (ARPA): approximately KSh 2,500/month (weighted mix)</w:t>
      </w:r>
    </w:p>
    <w:p>
      <w:pPr>
        <w:pStyle w:val="ListParagraph"/>
        <w:numPr>
          <w:ilvl w:val="0"/>
          <w:numId w:val="2"/>
        </w:numPr>
        <w:spacing w:after="80"/>
      </w:pPr>
      <w:r>
        <w:rPr>
          <w:b/>
          <w:bCs/>
        </w:rPr>
        <w:t xml:space="preserve">Break-even agent count = 254,000 / 2,500 ≈ 102 paying agents</w:t>
      </w:r>
    </w:p>
    <w:p>
      <w:pPr>
        <w:pStyle w:val="ListParagraph"/>
        <w:numPr>
          <w:ilvl w:val="0"/>
          <w:numId w:val="2"/>
        </w:numPr>
        <w:spacing w:after="80"/>
      </w:pPr>
      <w:r>
        <w:t xml:space="preserve">Target achieved Month 10–11 based on the revenue ramp</w:t>
      </w:r>
    </w:p>
    <w:p>
      <w:pPr>
        <w:pStyle w:val="Heading2"/>
        <w:spacing w:after="120" w:before="200"/>
      </w:pPr>
      <w:r>
        <w:t xml:space="preserve">15.6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Metric</w:t>
            </w:r>
          </w:p>
        </w:tc>
        <w:tc>
          <w:tcPr>
            <w:tcW w:type="dxa" w:w="468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Value</w:t>
            </w:r>
          </w:p>
        </w:tc>
      </w:tr>
      <w:tr>
        <w:trPr>
          <w:tblHeader w:val="false"/>
        </w:trPr>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Monthly ARPA</w:t>
            </w:r>
          </w:p>
        </w:tc>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 2,500</w:t>
            </w:r>
          </w:p>
        </w:tc>
      </w:tr>
      <w:tr>
        <w:trPr>
          <w:tblHeader w:val="false"/>
        </w:trPr>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Estimated CAC</w:t>
            </w:r>
          </w:p>
        </w:tc>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 3,000</w:t>
            </w:r>
          </w:p>
        </w:tc>
      </w:tr>
      <w:tr>
        <w:trPr>
          <w:tblHeader w:val="false"/>
        </w:trPr>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Estimated customer lifetime</w:t>
            </w:r>
          </w:p>
        </w:tc>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24+ months</w:t>
            </w:r>
          </w:p>
        </w:tc>
      </w:tr>
      <w:tr>
        <w:trPr>
          <w:tblHeader w:val="false"/>
        </w:trPr>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Estimated LTV</w:t>
            </w:r>
          </w:p>
        </w:tc>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KSh 60,000</w:t>
            </w:r>
          </w:p>
        </w:tc>
      </w:tr>
      <w:tr>
        <w:trPr>
          <w:tblHeader w:val="false"/>
        </w:trPr>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LTV : CAC Ratio</w:t>
            </w:r>
          </w:p>
        </w:tc>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20x (target &gt;3x)</w:t>
            </w:r>
          </w:p>
        </w:tc>
      </w:tr>
      <w:tr>
        <w:trPr>
          <w:tblHeader w:val="false"/>
        </w:trPr>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Gross margin (SaaS)</w:t>
            </w:r>
          </w:p>
        </w:tc>
        <w:tc>
          <w:tcPr>
            <w:tcW w:type="dxa" w:w="468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~85%</w:t>
            </w:r>
          </w:p>
        </w:tc>
      </w:tr>
    </w:tbl>
    <w:p>
      <w:pPr>
        <w:pStyle w:val="Heading1"/>
        <w:pageBreakBefore/>
        <w:spacing w:after="200" w:before="240"/>
      </w:pPr>
      <w:r>
        <w:t xml:space="preserve">16. The Ask (Funding Proposal)</w:t>
      </w:r>
    </w:p>
    <w:p>
      <w:pPr>
        <w:spacing w:after="120"/>
      </w:pPr>
      <w:r>
        <w:rPr>
          <w:b/>
          <w:bCs/>
        </w:rPr>
        <w:t xml:space="preserve">Super Agent is seeking KSh 800,000 in seed funding.</w:t>
      </w:r>
    </w:p>
    <w:p>
      <w:pPr>
        <w:pStyle w:val="Heading2"/>
        <w:spacing w:after="120" w:before="200"/>
      </w:pPr>
      <w:r>
        <w:t xml:space="preserve">Use of Funds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500"/>
        <w:gridCol w:w="1500"/>
      </w:tblGrid>
      <w:tr>
        <w:trPr>
          <w:tblHeader/>
        </w:trPr>
        <w:tc>
          <w:tcPr>
            <w:tcW w:type="dxa" w:w="5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Item</w:t>
            </w:r>
          </w:p>
        </w:tc>
        <w:tc>
          <w:tcPr>
            <w:tcW w:type="dxa" w:w="25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KSh</w:t>
            </w:r>
          </w:p>
        </w:tc>
        <w:tc>
          <w:tcPr>
            <w:tcW w:type="dxa" w:w="15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w:t>
            </w:r>
          </w:p>
        </w:tc>
      </w:tr>
      <w:tr>
        <w:trPr>
          <w:tblHeader w:val="false"/>
        </w:trPr>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Platform development (MVP)</w:t>
            </w:r>
          </w:p>
        </w:tc>
        <w:tc>
          <w:tcPr>
            <w:tcW w:type="dxa" w:w="2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400,000</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50%</w:t>
            </w:r>
          </w:p>
        </w:tc>
      </w:tr>
      <w:tr>
        <w:trPr>
          <w:tblHeader w:val="false"/>
        </w:trPr>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Legal, compliance, incorporation</w:t>
            </w:r>
          </w:p>
        </w:tc>
        <w:tc>
          <w:tcPr>
            <w:tcW w:type="dxa" w:w="2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80,000</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10%</w:t>
            </w:r>
          </w:p>
        </w:tc>
      </w:tr>
      <w:tr>
        <w:trPr>
          <w:tblHeader w:val="false"/>
        </w:trPr>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Insurer integrations (3 initial)</w:t>
            </w:r>
          </w:p>
        </w:tc>
        <w:tc>
          <w:tcPr>
            <w:tcW w:type="dxa" w:w="2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150,000</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19%</w:t>
            </w:r>
          </w:p>
        </w:tc>
      </w:tr>
      <w:tr>
        <w:trPr>
          <w:tblHeader w:val="false"/>
        </w:trPr>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Marketing launch</w:t>
            </w:r>
          </w:p>
        </w:tc>
        <w:tc>
          <w:tcPr>
            <w:tcW w:type="dxa" w:w="2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50,000</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6%</w:t>
            </w:r>
          </w:p>
        </w:tc>
      </w:tr>
      <w:tr>
        <w:trPr>
          <w:tblHeader w:val="false"/>
        </w:trPr>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Branding and design</w:t>
            </w:r>
          </w:p>
        </w:tc>
        <w:tc>
          <w:tcPr>
            <w:tcW w:type="dxa" w:w="2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30,000</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4%</w:t>
            </w:r>
          </w:p>
        </w:tc>
      </w:tr>
      <w:tr>
        <w:trPr>
          <w:tblHeader w:val="false"/>
        </w:trPr>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Initial operating runway (~1 month)</w:t>
            </w:r>
          </w:p>
        </w:tc>
        <w:tc>
          <w:tcPr>
            <w:tcW w:type="dxa" w:w="2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90,000</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11%</w:t>
            </w:r>
          </w:p>
        </w:tc>
      </w:tr>
      <w:tr>
        <w:trPr>
          <w:tblHeader w:val="false"/>
        </w:trPr>
        <w:tc>
          <w:tcPr>
            <w:tcW w:type="dxa" w:w="5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Total</w:t>
            </w:r>
          </w:p>
        </w:tc>
        <w:tc>
          <w:tcPr>
            <w:tcW w:type="dxa" w:w="2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800,000</w:t>
            </w:r>
          </w:p>
        </w:tc>
        <w:tc>
          <w:tcPr>
            <w:tcW w:type="dxa" w:w="15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100%</w:t>
            </w:r>
          </w:p>
        </w:tc>
      </w:tr>
    </w:tbl>
    <w:p>
      <w:pPr>
        <w:pStyle w:val="Heading2"/>
        <w:spacing w:after="120" w:before="200"/>
      </w:pPr>
      <w:r>
        <w:t xml:space="preserve">Funding Sources Being Explored</w:t>
      </w:r>
    </w:p>
    <w:p>
      <w:pPr>
        <w:pStyle w:val="ListParagraph"/>
        <w:numPr>
          <w:ilvl w:val="0"/>
          <w:numId w:val="2"/>
        </w:numPr>
        <w:spacing w:after="80"/>
      </w:pPr>
      <w:r>
        <w:t xml:space="preserve">Founder personal savings: KSh 100,000</w:t>
      </w:r>
    </w:p>
    <w:p>
      <w:pPr>
        <w:pStyle w:val="ListParagraph"/>
        <w:numPr>
          <w:ilvl w:val="0"/>
          <w:numId w:val="2"/>
        </w:numPr>
        <w:spacing w:after="80"/>
      </w:pPr>
      <w:r>
        <w:t xml:space="preserve">Family and friends: KSh 100,000</w:t>
      </w:r>
    </w:p>
    <w:p>
      <w:pPr>
        <w:pStyle w:val="ListParagraph"/>
        <w:numPr>
          <w:ilvl w:val="0"/>
          <w:numId w:val="2"/>
        </w:numPr>
        <w:spacing w:after="80"/>
      </w:pPr>
      <w:r>
        <w:t xml:space="preserve">Strathmore iBiz Africa incubator</w:t>
      </w:r>
    </w:p>
    <w:p>
      <w:pPr>
        <w:pStyle w:val="ListParagraph"/>
        <w:numPr>
          <w:ilvl w:val="0"/>
          <w:numId w:val="2"/>
        </w:numPr>
        <w:spacing w:after="80"/>
      </w:pPr>
      <w:r>
        <w:t xml:space="preserve">Villgro Africa (social enterprise fund)</w:t>
      </w:r>
    </w:p>
    <w:p>
      <w:pPr>
        <w:pStyle w:val="ListParagraph"/>
        <w:numPr>
          <w:ilvl w:val="0"/>
          <w:numId w:val="2"/>
        </w:numPr>
        <w:spacing w:after="80"/>
      </w:pPr>
      <w:r>
        <w:t xml:space="preserve">Antler East Africa</w:t>
      </w:r>
    </w:p>
    <w:p>
      <w:pPr>
        <w:pStyle w:val="ListParagraph"/>
        <w:numPr>
          <w:ilvl w:val="0"/>
          <w:numId w:val="2"/>
        </w:numPr>
        <w:spacing w:after="80"/>
      </w:pPr>
      <w:r>
        <w:t xml:space="preserve">Kenya Innovation Agency (KENIA)</w:t>
      </w:r>
    </w:p>
    <w:p>
      <w:pPr>
        <w:pStyle w:val="ListParagraph"/>
        <w:numPr>
          <w:ilvl w:val="0"/>
          <w:numId w:val="2"/>
        </w:numPr>
        <w:spacing w:after="80"/>
      </w:pPr>
      <w:r>
        <w:t xml:space="preserve">HEVA Fund</w:t>
      </w:r>
    </w:p>
    <w:p>
      <w:pPr>
        <w:pStyle w:val="ListParagraph"/>
        <w:numPr>
          <w:ilvl w:val="0"/>
          <w:numId w:val="2"/>
        </w:numPr>
        <w:spacing w:after="80"/>
      </w:pPr>
      <w:r>
        <w:t xml:space="preserve">Angel investors with insurance / fintech background</w:t>
      </w:r>
    </w:p>
    <w:p>
      <w:pPr>
        <w:pStyle w:val="Heading2"/>
        <w:spacing w:after="120" w:before="200"/>
      </w:pPr>
      <w:r>
        <w:t xml:space="preserve">Returns for Investors</w:t>
      </w:r>
    </w:p>
    <w:p>
      <w:pPr>
        <w:spacing w:after="120"/>
      </w:pPr>
      <w:r>
        <w:rPr>
          <w:b/>
          <w:bCs/>
        </w:rPr>
        <w:t xml:space="preserve">Equity investors: </w:t>
      </w:r>
      <w:r>
        <w:t xml:space="preserve">10–20% equity for KSh 800,000. Projected 5–8x return within 5 years based on Year 2–5 revenue growth and platform valuation multiples.</w:t>
      </w:r>
    </w:p>
    <w:p>
      <w:pPr>
        <w:spacing w:after="120"/>
      </w:pPr>
      <w:r>
        <w:rPr>
          <w:b/>
          <w:bCs/>
        </w:rPr>
        <w:t xml:space="preserve">Loan investors: </w:t>
      </w:r>
      <w:r>
        <w:t xml:space="preserve">Repayment begins Month 18 (at break-even); full repayment by Month 30 at a negotiated interest rate.</w:t>
      </w:r>
    </w:p>
    <w:p>
      <w:pPr>
        <w:spacing w:after="120"/>
      </w:pPr>
      <w:r>
        <w:rPr>
          <w:b/>
          <w:bCs/>
        </w:rPr>
        <w:t xml:space="preserve">Exit options: </w:t>
      </w:r>
      <w:r>
        <w:t xml:space="preserve">Acquisition by a local insurer (Jubilee, CIC, Britam), a regional insurtech aggregator, or a telecoms-backed financial services player (e.g., Safaricom's financial services arm).</w:t>
      </w:r>
    </w:p>
    <w:p>
      <w:pPr>
        <w:pStyle w:val="Heading2"/>
        <w:spacing w:after="120" w:before="200"/>
      </w:pPr>
      <w:r>
        <w:t xml:space="preserve">Investor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Milestone</w:t>
            </w:r>
          </w:p>
        </w:tc>
        <w:tc>
          <w:tcPr>
            <w:tcW w:type="dxa" w:w="3000"/>
            <w:tcBorders>
              <w:top w:val="single" w:color="000000" w:sz="4"/>
              <w:left w:val="single" w:color="000000" w:sz="4"/>
              <w:bottom w:val="single" w:color="000000" w:sz="4"/>
              <w:right w:val="single" w:color="000000" w:sz="4"/>
            </w:tcBorders>
            <w:shd w:fill="D9D9D9" w:val="clear"/>
            <w:tcMar>
              <w:top w:type="dxa" w:w="100"/>
              <w:left w:type="dxa" w:w="140"/>
              <w:bottom w:type="dxa" w:w="100"/>
              <w:right w:type="dxa" w:w="140"/>
            </w:tcMar>
          </w:tcPr>
          <w:p>
            <w:pPr>
              <w:spacing w:after="0"/>
            </w:pPr>
            <w:r>
              <w:rPr>
                <w:b/>
                <w:bCs/>
                <w:sz w:val="22"/>
                <w:szCs w:val="22"/>
              </w:rPr>
              <w:t xml:space="preserve">Target</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Seed close</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Month 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MVP live with 3 insurers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Month 5</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30 pilot agents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Month 6</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First paying subscribers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Month 7</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100 paying agents</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Month 10–11</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Break-even</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Month 18–20</w:t>
            </w:r>
          </w:p>
        </w:tc>
      </w:tr>
      <w:tr>
        <w:trPr>
          <w:tblHeader w:val="false"/>
        </w:trPr>
        <w:tc>
          <w:tcPr>
            <w:tcW w:type="dxa" w:w="636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Series A raise</w:t>
            </w:r>
          </w:p>
        </w:tc>
        <w:tc>
          <w:tcPr>
            <w:tcW w:type="dxa" w:w="3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spacing w:after="0"/>
            </w:pPr>
            <w:r>
              <w:rPr>
                <w:b w:val="false"/>
                <w:bCs w:val="false"/>
                <w:sz w:val="22"/>
                <w:szCs w:val="22"/>
              </w:rPr>
              <w:t xml:space="preserve">Month 12–15</w:t>
            </w:r>
          </w:p>
        </w:tc>
      </w:tr>
    </w:tbl>
    <w:p>
      <w:pPr>
        <w:pStyle w:val="Heading1"/>
        <w:pageBreakBefore/>
        <w:spacing w:after="200" w:before="240"/>
      </w:pPr>
      <w:r>
        <w:t xml:space="preserve">17. Appendix</w:t>
      </w:r>
    </w:p>
    <w:p>
      <w:pPr>
        <w:pStyle w:val="ListParagraph"/>
        <w:numPr>
          <w:ilvl w:val="0"/>
          <w:numId w:val="2"/>
        </w:numPr>
        <w:spacing w:after="80"/>
      </w:pPr>
      <w:r>
        <w:rPr>
          <w:b/>
          <w:bCs/>
        </w:rPr>
        <w:t xml:space="preserve">Appendix A: </w:t>
      </w:r>
      <w:r>
        <w:t xml:space="preserve">System architecture diagram</w:t>
      </w:r>
    </w:p>
    <w:p>
      <w:pPr>
        <w:pStyle w:val="ListParagraph"/>
        <w:numPr>
          <w:ilvl w:val="0"/>
          <w:numId w:val="2"/>
        </w:numPr>
        <w:spacing w:after="80"/>
      </w:pPr>
      <w:r>
        <w:rPr>
          <w:b/>
          <w:bCs/>
        </w:rPr>
        <w:t xml:space="preserve">Appendix B: </w:t>
      </w:r>
      <w:r>
        <w:t xml:space="preserve">Agent quote comparison screen wireframe</w:t>
      </w:r>
    </w:p>
    <w:p>
      <w:pPr>
        <w:pStyle w:val="ListParagraph"/>
        <w:numPr>
          <w:ilvl w:val="0"/>
          <w:numId w:val="2"/>
        </w:numPr>
        <w:spacing w:after="80"/>
      </w:pPr>
      <w:r>
        <w:rPr>
          <w:b/>
          <w:bCs/>
        </w:rPr>
        <w:t xml:space="preserve">Appendix C: </w:t>
      </w:r>
      <w:r>
        <w:t xml:space="preserve">Sample branded PDF quote output</w:t>
      </w:r>
    </w:p>
    <w:p>
      <w:pPr>
        <w:pStyle w:val="ListParagraph"/>
        <w:numPr>
          <w:ilvl w:val="0"/>
          <w:numId w:val="2"/>
        </w:numPr>
        <w:spacing w:after="80"/>
      </w:pPr>
      <w:r>
        <w:rPr>
          <w:b/>
          <w:bCs/>
        </w:rPr>
        <w:t xml:space="preserve">Appendix D: </w:t>
      </w:r>
      <w:r>
        <w:t xml:space="preserve">Kenya insurance industry statistics (IRA Annual Report)</w:t>
      </w:r>
    </w:p>
    <w:p>
      <w:pPr>
        <w:pStyle w:val="ListParagraph"/>
        <w:numPr>
          <w:ilvl w:val="0"/>
          <w:numId w:val="2"/>
        </w:numPr>
        <w:spacing w:after="80"/>
      </w:pPr>
      <w:r>
        <w:rPr>
          <w:b/>
          <w:bCs/>
        </w:rPr>
        <w:t xml:space="preserve">Appendix E: </w:t>
      </w:r>
      <w:r>
        <w:t xml:space="preserve">Competitor landscape mapping</w:t>
      </w:r>
    </w:p>
    <w:p>
      <w:pPr>
        <w:pStyle w:val="ListParagraph"/>
        <w:numPr>
          <w:ilvl w:val="0"/>
          <w:numId w:val="2"/>
        </w:numPr>
        <w:spacing w:after="80"/>
      </w:pPr>
      <w:r>
        <w:rPr>
          <w:b/>
          <w:bCs/>
        </w:rPr>
        <w:t xml:space="preserve">Appendix F: </w:t>
      </w:r>
      <w:r>
        <w:t xml:space="preserve">Founder CV</w:t>
      </w:r>
    </w:p>
    <w:p>
      <w:pPr>
        <w:pStyle w:val="ListParagraph"/>
        <w:numPr>
          <w:ilvl w:val="0"/>
          <w:numId w:val="2"/>
        </w:numPr>
        <w:spacing w:after="80"/>
      </w:pPr>
      <w:r>
        <w:rPr>
          <w:b/>
          <w:bCs/>
        </w:rPr>
        <w:t xml:space="preserve">Appendix G: </w:t>
      </w:r>
      <w:r>
        <w:t xml:space="preserve">Insurer engagement status (list of insurers in active discussion and stage)</w:t>
      </w:r>
    </w:p>
    <w:p>
      <w:pPr>
        <w:pStyle w:val="ListParagraph"/>
        <w:numPr>
          <w:ilvl w:val="0"/>
          <w:numId w:val="2"/>
        </w:numPr>
        <w:spacing w:after="80"/>
      </w:pPr>
      <w:r>
        <w:rPr>
          <w:b/>
          <w:bCs/>
        </w:rPr>
        <w:t xml:space="preserve">Appendix H: </w:t>
      </w:r>
      <w:r>
        <w:t xml:space="preserve">Kenya Data Protection Act 2019 — compliance summary</w:t>
      </w:r>
    </w:p>
    <w:p>
      <w:pPr>
        <w:pStyle w:val="ListParagraph"/>
        <w:numPr>
          <w:ilvl w:val="0"/>
          <w:numId w:val="2"/>
        </w:numPr>
        <w:spacing w:after="80"/>
      </w:pPr>
      <w:r>
        <w:rPr>
          <w:b/>
          <w:bCs/>
        </w:rPr>
        <w:t xml:space="preserve">Appendix I: </w:t>
      </w:r>
      <w:r>
        <w:t xml:space="preserve">Market survey results (agent pain-point validation)</w:t>
      </w:r>
    </w:p>
    <w:p>
      <w:pPr>
        <w:pStyle w:val="ListParagraph"/>
        <w:numPr>
          <w:ilvl w:val="0"/>
          <w:numId w:val="2"/>
        </w:numPr>
        <w:spacing w:after="80"/>
      </w:pPr>
      <w:r>
        <w:rPr>
          <w:b/>
          <w:bCs/>
        </w:rPr>
        <w:t xml:space="preserve">Appendix J: </w:t>
      </w:r>
      <w:r>
        <w:t xml:space="preserve">Break-even and revenue model assumptions</w:t>
      </w:r>
    </w:p>
    <w:p>
      <w:pPr>
        <w:pStyle w:val="Heading1"/>
        <w:pageBreakBefore/>
        <w:spacing w:after="200" w:before="240"/>
      </w:pPr>
      <w:r>
        <w:t xml:space="preserve">18. References</w:t>
      </w:r>
    </w:p>
    <w:p>
      <w:pPr>
        <w:spacing w:after="120"/>
      </w:pPr>
      <w:r>
        <w:t xml:space="preserve">The following sources informed the frameworks, statistics, and strategic thinking used in this business plan. References are formatted in APA 7th edition style.</w:t>
      </w:r>
    </w:p>
    <w:p>
      <w:pPr>
        <w:spacing w:after="120"/>
      </w:pPr>
      <w:r>
        <w:t xml:space="preserve"/>
      </w:r>
    </w:p>
    <w:p>
      <w:pPr>
        <w:spacing w:after="200"/>
        <w:ind w:left="720" w:hanging="720"/>
      </w:pPr>
      <w:r>
        <w:t xml:space="preserve">Drucker, P. F. (1985). Innovation and entrepreneurship: Practice and principles. Harper &amp; Row.</w:t>
      </w:r>
    </w:p>
    <w:p>
      <w:pPr>
        <w:spacing w:after="200"/>
        <w:ind w:left="720" w:hanging="720"/>
      </w:pPr>
      <w:r>
        <w:t xml:space="preserve">Insurance Regulatory Authority of Kenya. (2023). Insurance industry annual report 2023. IRA. https://www.ira.go.ke</w:t>
      </w:r>
    </w:p>
    <w:p>
      <w:pPr>
        <w:spacing w:after="200"/>
        <w:ind w:left="720" w:hanging="720"/>
      </w:pPr>
      <w:r>
        <w:t xml:space="preserve">Kotler, P., &amp; Armstrong, G. (2017). Principles of marketing (17th ed.). Pearson Education.</w:t>
      </w:r>
    </w:p>
    <w:p>
      <w:pPr>
        <w:spacing w:after="200"/>
        <w:ind w:left="720" w:hanging="720"/>
      </w:pPr>
      <w:r>
        <w:t xml:space="preserve">Ombasa, R. (2026). Innovation and entrepreneurship lecture notes [Course material]. Strathmore University, Faculty of Information Technology.</w:t>
      </w:r>
    </w:p>
    <w:p>
      <w:pPr>
        <w:spacing w:after="200"/>
        <w:ind w:left="720" w:hanging="720"/>
      </w:pPr>
      <w:r>
        <w:t xml:space="preserve">Osterwalder, A., &amp; Pigneur, Y. (2010). Business model generation: A handbook for visionaries, game changers, and challengers. John Wiley &amp; Sons.</w:t>
      </w:r>
    </w:p>
    <w:p>
      <w:pPr>
        <w:spacing w:after="200"/>
        <w:ind w:left="720" w:hanging="720"/>
      </w:pPr>
      <w:r>
        <w:t xml:space="preserve">Porter, M. E. (1979). How competitive forces shape strategy. Harvard Business Review, 57(2), 137–145.</w:t>
      </w:r>
    </w:p>
    <w:p>
      <w:pPr>
        <w:spacing w:after="200"/>
        <w:ind w:left="720" w:hanging="720"/>
      </w:pPr>
      <w:r>
        <w:t xml:space="preserve">Porter, M. E. (2008). The five competitive forces that shape strategy. Harvard Business Review, 86(1), 78–93.</w:t>
      </w:r>
    </w:p>
    <w:p>
      <w:pPr>
        <w:spacing w:after="200"/>
        <w:ind w:left="720" w:hanging="720"/>
      </w:pPr>
      <w:r>
        <w:t xml:space="preserve">Republic of Kenya. (2019). The Data Protection Act, 2019 (No. 24 of 2019). Government Printer. http://kenyalaw.org</w:t>
      </w:r>
    </w:p>
    <w:p>
      <w:pPr>
        <w:spacing w:after="200"/>
        <w:ind w:left="720" w:hanging="720"/>
      </w:pPr>
      <w:r>
        <w:t xml:space="preserve">Republic of Kenya. (2015). The Insurance Act (Cap. 487). Revised edition. National Council for Law Reporting. http://kenyalaw.org</w:t>
      </w:r>
    </w:p>
    <w:p>
      <w:pPr>
        <w:spacing w:after="200"/>
        <w:ind w:left="720" w:hanging="720"/>
      </w:pPr>
      <w:r>
        <w:t xml:space="preserve">Ries, E. (2011). The lean startup: How today's entrepreneurs use continuous innovation to create radically successful businesses. Crown Business.</w:t>
      </w:r>
    </w:p>
    <w:p>
      <w:pPr>
        <w:spacing w:after="200"/>
        <w:ind w:left="720" w:hanging="720"/>
      </w:pPr>
      <w:r>
        <w:t xml:space="preserve">Strathmore University Business School. (n.d.). iBiz Africa: Incubator and innovation centre. https://sbs.strathmore.edu</w:t>
      </w:r>
    </w:p>
    <w:p>
      <w:pPr>
        <w:spacing w:after="120"/>
      </w:pPr>
      <w:r>
        <w:t xml:space="preserve"/>
      </w:r>
    </w:p>
    <w:p>
      <w:pPr>
        <w:spacing w:after="120"/>
      </w:pPr>
      <w:r>
        <w:rPr>
          <w:b/>
          <w:bCs/>
          <w:i/>
          <w:iCs/>
        </w:rPr>
        <w:t xml:space="preserve">Note: </w:t>
      </w:r>
      <w:r>
        <w:rPr>
          <w:i/>
          <w:iCs/>
        </w:rPr>
        <w:t xml:space="preserve">The IRA annual-report statistics cited in the Industry Overview should be verified against the most recent edition published at the time of submission. Market-size numbers (4,500 agents; 2.43% penetration) are based on publicly available IRA reports and may have been updated since preparation of this document.</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000000"/>
        <w:sz w:val="18"/>
        <w:szCs w:val="18"/>
      </w:rPr>
      <w:t xml:space="preserve">Super Agent — Business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 Agent Business Plan</dc:title>
  <dc:creator>Abigae Amina</dc:creator>
  <dc:description>Business Plan for Super Agent — BBIT Innovation and Entrepreneurship, Strathmore University</dc:description>
  <cp:lastModifiedBy>Un-named</cp:lastModifiedBy>
  <cp:revision>1</cp:revision>
  <dcterms:created xsi:type="dcterms:W3CDTF">2026-04-19T16:58:45.195Z</dcterms:created>
  <dcterms:modified xsi:type="dcterms:W3CDTF">2026-04-19T16:58:45.195Z</dcterms:modified>
</cp:coreProperties>
</file>

<file path=docProps/custom.xml><?xml version="1.0" encoding="utf-8"?>
<Properties xmlns="http://schemas.openxmlformats.org/officeDocument/2006/custom-properties" xmlns:vt="http://schemas.openxmlformats.org/officeDocument/2006/docPropsVTypes"/>
</file>