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200"/>
        <w:jc w:val="center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兆信基金量化任务</w:t>
      </w:r>
    </w:p>
    <w:p>
      <w:pPr>
        <w:keepNext w:val="0"/>
        <w:spacing w:before="0" w:after="320" w:line="240" w:lineRule="auto"/>
        <w:jc w:val="center"/>
      </w:pPr>
      <w:r>
        <w:rPr>
          <w:rFonts w:ascii="Arial Unicode MS" w:hAnsi="Arial Unicode MS" w:eastAsia="Arial Unicode MS"/>
          <w:b/>
          <w:i w:val="0"/>
          <w:color w:val="1F4D78"/>
          <w:sz w:val="52"/>
        </w:rPr>
        <w:t>逐笔成交数据降采样与量化研究</w:t>
      </w:r>
    </w:p>
    <w:p>
      <w:pPr>
        <w:keepNext w:val="0"/>
        <w:spacing w:before="0" w:after="560" w:line="240" w:lineRule="auto"/>
        <w:jc w:val="center"/>
      </w:pPr>
      <w:r>
        <w:rPr>
          <w:rFonts w:ascii="Arial Unicode MS" w:hAnsi="Arial Unicode MS" w:eastAsia="Arial Unicode MS"/>
          <w:b w:val="0"/>
          <w:i w:val="0"/>
          <w:color w:val="5B6573"/>
          <w:sz w:val="26"/>
        </w:rPr>
        <w:t>因子稳健性 · 成本压力 · 强基线 · 分钟信号回测</w:t>
      </w:r>
    </w:p>
    <w:p>
      <w:pPr>
        <w:jc w:val="center"/>
        <w:pBdr>
          <w:bottom w:val="single" w:sz="18" w:space="1" w:color="2E74B5"/>
        </w:pBdr>
      </w:pPr>
      <w:r>
        <w:rPr>
          <w:rFonts w:ascii="Arial Unicode MS" w:hAnsi="Arial Unicode MS" w:eastAsia="Arial Unicode MS"/>
          <w:b w:val="0"/>
          <w:i w:val="0"/>
          <w:color w:val="222222"/>
          <w:sz w:val="4"/>
        </w:rPr>
      </w:r>
    </w:p>
    <w:p>
      <w:pPr>
        <w:keepNext w:val="0"/>
        <w:spacing w:before="0" w:after="160" w:line="264" w:lineRule="auto"/>
        <w:jc w:val="center"/>
      </w:pPr>
      <w:r>
        <w:rPr>
          <w:rFonts w:ascii="Arial Unicode MS" w:hAnsi="Arial Unicode MS" w:eastAsia="Arial Unicode MS"/>
          <w:b/>
          <w:i w:val="0"/>
          <w:color w:val="5B6573"/>
          <w:sz w:val="24"/>
        </w:rPr>
        <w:t>项目展示文档</w:t>
      </w:r>
    </w:p>
    <w:p>
      <w:pPr>
        <w:keepNext w:val="0"/>
        <w:spacing w:before="0" w:after="60" w:line="264" w:lineRule="auto"/>
        <w:jc w:val="center"/>
      </w:pPr>
      <w:r>
        <w:rPr>
          <w:rFonts w:ascii="Arial Unicode MS" w:hAnsi="Arial Unicode MS" w:eastAsia="Arial Unicode MS"/>
          <w:b w:val="0"/>
          <w:i w:val="0"/>
          <w:color w:val="5B6573"/>
          <w:sz w:val="21"/>
        </w:rPr>
        <w:t>数据区间：2025-04-01—2026-06-30</w:t>
      </w:r>
    </w:p>
    <w:p>
      <w:pPr>
        <w:jc w:val="center"/>
      </w:pPr>
      <w:r>
        <w:rPr>
          <w:rFonts w:ascii="Arial Unicode MS" w:hAnsi="Arial Unicode MS" w:eastAsia="Arial Unicode MS"/>
          <w:b w:val="0"/>
          <w:i w:val="0"/>
          <w:color w:val="5B6573"/>
          <w:sz w:val="21"/>
        </w:rPr>
        <w:t>2026 年 8 月</w:t>
      </w: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01  项目概览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本项目完成了从逐笔成交数据清洗、日频/分钟频降采样，到多因子评价、组合回测和分钟级预测的完整研究流水线。本轮进一步补全了因子漂移、交易成本、强基线、概率校准、信号回测和一折真实 walk-forward 演练。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300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302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11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3,322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股票数量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交易日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日/分钟字段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分钟 CSV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核心成果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数据工程：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生成 11 张 302×300 日频宽表，以及 11×302 张 242×300 分钟宽表；300 只股票复权因子全部匹配。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因子研究：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四个因子的 block-bootstrap 95% 置信区间均不跨 0，但滚动 IC 在样本尾部普遍上行，必须同时承认衰减与漂移。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回测约束：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换手约束版将日均总换手从 1.441 降至 0.601；对称单边 10 bps 后仍收益 8.28%，盈亏平衡成本约 14.73 bps。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模型对照：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原 LSTM Accuracy 46.88%，HistGB 46.80%；混合后为 47.31%，配对检验仍不显著，不宣称深度模型领先。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信号闭环：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原 LSTM strict 多空/只做多在单边 5 bps 后分别为 +5.67%/+2.54%；仅 10 日且假设零延迟，只能视为诊断。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一句话结论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项目的差异化不在于报出更高的单一指标，而在于用信息时序、强基线、成本压力和样本外流程限定结论的可信边界。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建议汇报主线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先讲数据口径与前视偏差，再讲因子“全样本显著、时变强度漂移”，继而用换手约束和成本曲线评价可实现性，最后用 LSTM、树模型、混合模型与信号回测说明：分类改进不必然转化为经济价值。</w:t>
      </w: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02  任务范围与数据流水线</w:t>
      </w: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输入与输出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450"/>
        <w:gridCol w:w="2300"/>
        <w:gridCol w:w="3160"/>
      </w:tblGrid>
      <w:tr>
        <w:trPr>
          <w:tblHeader w:val="true"/>
        </w:trPr>
        <w:tc>
          <w:tcPr>
            <w:tcW w:type="dxa" w:w="14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层级</w:t>
            </w:r>
          </w:p>
        </w:tc>
        <w:tc>
          <w:tcPr>
            <w:tcW w:type="dxa" w:w="24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输入/处理</w:t>
            </w:r>
          </w:p>
        </w:tc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输出规模</w:t>
            </w:r>
          </w:p>
        </w:tc>
        <w:tc>
          <w:tcPr>
            <w:tcW w:type="dxa" w:w="3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关键口径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逐笔成交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Time / Price / Volume / BSFlag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300 只股票 × 302 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价格为整数分；买卖方向来自 BSFlag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日频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按交易日聚合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11 张 302×300 宽表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停牌 OHLC 延用前收；成交字段为 0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分钟频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连续竞价按分钟聚合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11×302 张 242×300 宽表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上午 121 行 + 下午 121 行，含 15:00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研究输出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因子 / 回测 / LSTM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CSV、JSON、PNG、模型包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所有报告由脚本按当前数据生成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统一复权口径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9FC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价格复权公式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adjusted_price[date] = raw_price / 100 × adjfactor[date] / adjfactor[first_valid_date]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以每只股票样本首个有效交易日为基准归一化：样本首日价格保持原值，后续分红配股跳变得到修正。成交量、成交笔数和成交额保持真实成交口径，不进行复权。</w:t>
      </w: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端到端流程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5200"/>
        <w:gridCol w:w="3210"/>
      </w:tblGrid>
      <w:tr>
        <w:trPr>
          <w:tblHeader w:val="true"/>
        </w:trPr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步骤</w:t>
            </w:r>
          </w:p>
        </w:tc>
        <w:tc>
          <w:tcPr>
            <w:tcW w:type="dxa" w:w="5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处理</w:t>
            </w:r>
          </w:p>
        </w:tc>
        <w:tc>
          <w:tcPr>
            <w:tcW w:type="dxa" w:w="32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验收产物</w:t>
            </w:r>
          </w:p>
        </w:tc>
      </w:tr>
      <w:tr>
        <w:trPr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1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载入股票、交易日和复权因子；统一代码后缀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300/300 一一匹配</w:t>
            </w:r>
          </w:p>
        </w:tc>
      </w:tr>
      <w:tr>
        <w:trPr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2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逐笔数据聚合为日频与分钟频 11 字段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日频 11 表；分钟 3,322 文件</w:t>
            </w:r>
          </w:p>
        </w:tc>
      </w:tr>
      <w:tr>
        <w:trPr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3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构建 4 个因子；分层、IC、滚动稳定性与 block bootstrap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评价表、置信区间、漂移图</w:t>
            </w:r>
          </w:p>
        </w:tc>
      </w:tr>
      <w:tr>
        <w:trPr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4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IC 加权 Top 10 回测；前视对照、换手约束与成本压力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净值、换手、成本曲线</w:t>
            </w:r>
          </w:p>
        </w:tc>
      </w:tr>
      <w:tr>
        <w:trPr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5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全窗口 LSTM、树模型与混合强基线；接入分钟信号回测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逐样本概率、校准/消融、成本后策略</w:t>
            </w:r>
          </w:p>
        </w:tc>
      </w:tr>
    </w:tbl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03  工程检查后的关键修正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项目的主要难点不在“能否生成文件”，而在输出口径是否严格、研究信息是否可得。修复集中在以下四类问题。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550"/>
        <w:gridCol w:w="301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问题</w:t>
            </w:r>
          </w:p>
        </w:tc>
        <w:tc>
          <w:tcPr>
            <w:tcW w:type="dxa" w:w="45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修正方式</w:t>
            </w:r>
          </w:p>
        </w:tc>
        <w:tc>
          <w:tcPr>
            <w:tcW w:type="dxa" w:w="3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影响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股票代码格式不一致</w:t>
            </w:r>
          </w:p>
        </w:tc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逐笔文件六位代码与 adjfactor 的 .SH/.SZ 后缀统一映射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300 只股票全部匹配复权因子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分钟边界与集合竞价</w:t>
            </w:r>
          </w:p>
        </w:tc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固定 09:30–11:30、13:00–15:00；14:57–14:59 等待，15:00 记录撮合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每张分钟表严格 242 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停牌与无成交分钟</w:t>
            </w:r>
          </w:p>
        </w:tc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停牌日 OHLC 延用前收；连续竞价无成交分钟延用前一分钟 close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避免错误零价格和伪收益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回测存在前视偏差</w:t>
            </w:r>
          </w:p>
        </w:tc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交易日 t 用 t-1 因子；IC 权重只使用截至 t-2 已实现收益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策略指标回归可解释范围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LSTM 标签边界</w:t>
            </w:r>
          </w:p>
        </w:tc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标签比较 close[t+1] 与 close[t]；全窗口保留平价；窗口不跨午休和交易日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避免用未来结果筛样本，并消除无效跨段窗口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验收结果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571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3,322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56/56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100%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停牌日价格单元正确回填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分钟文件全量校验通过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当前全量测试通过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复权代码映射覆盖</w:t>
            </w:r>
          </w:p>
        </w:tc>
      </w:tr>
    </w:tbl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文件结构、字段名称、日期格式、股票代码和矩阵尺寸均可程序化校验。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分钟频逐文件检查 242 行、300 列和两段连续竞价时间索引。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断点续跑会检查 11 个分钟字段的完整性，避免只凭“文件存在”误判成功。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新增测试覆盖成本单调性、因子 bootstrap、概率校准、强基线、融合冻结、信号权重与换手断点。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展示重点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这部分体现的是研究可信度：同一份策略代码，如果价格复权、停牌、15:00 集合竞价或信息时序处理错误，后续漂亮的指标都没有意义。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04  因子设计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在任务书示例因子之外，工程严格新增 3 个因子，共 4 个信号。每个交易日进行横截面评价，预测目标为下一交易日复权收盘收益。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3500"/>
        <w:gridCol w:w="2450"/>
        <w:gridCol w:w="1860"/>
      </w:tblGrid>
      <w:tr>
        <w:trPr>
          <w:tblHeader w:val="true"/>
        </w:trPr>
        <w:tc>
          <w:tcPr>
            <w:tcW w:type="dxa" w:w="15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因子</w:t>
            </w:r>
          </w:p>
        </w:tc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定义</w:t>
            </w:r>
          </w:p>
        </w:tc>
        <w:tc>
          <w:tcPr>
            <w:tcW w:type="dxa" w:w="24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直觉</w:t>
            </w:r>
          </w:p>
        </w:tc>
        <w:tc>
          <w:tcPr>
            <w:tcW w:type="dxa" w:w="1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有效方向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示例因子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log(std(MA1, MA5, MA10, MA20 of amount))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不同期限成交额均线分歧度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低值更优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 日动量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close / close.shift(5) − 1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短期价格趋势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整体偏反转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主买主卖失衡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(buy_volume − sell_volume) / (buy_volume + sell_volume)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主动交易方向差异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高值未带来更高次日收益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日内振幅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(high − low) / close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日内波动与情绪强度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低振幅组更优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评价指标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IC：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每日因子值与下一日收益的 Pearson 相关系数；反映线性选股能力。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Rank IC：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每日因子排名与下一日收益排名的 Spearman 相关系数；对极端值更稳健。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ICIR = mean(IC) / std(IC)，IR = √252 × ICIR；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负值代表反向有效，不等于因子无效。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五分层：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Q1 为低因子值组，Q5 为高因子值组；比较平均次日收益是否单调。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解释口径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本项目四个因子的平均 IC 都为负。因此实盘组合构建不能简单追逐“因子值越大越好”，而应结合滚动 IC 的符号和强度动态确定方向与权重。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05  因子评价结果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050"/>
        <w:gridCol w:w="950"/>
        <w:gridCol w:w="1150"/>
        <w:gridCol w:w="1350"/>
        <w:gridCol w:w="1550"/>
        <w:gridCol w:w="1410"/>
      </w:tblGrid>
      <w:tr>
        <w:trPr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因子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IC</w:t>
            </w:r>
          </w:p>
        </w:tc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IR</w:t>
            </w:r>
          </w:p>
        </w:tc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ICIR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Rank IC</w:t>
            </w:r>
          </w:p>
        </w:tc>
        <w:tc>
          <w:tcPr>
            <w:tcW w:type="dxa" w:w="15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Rank ICIR</w:t>
            </w:r>
          </w:p>
        </w:tc>
        <w:tc>
          <w:tcPr>
            <w:tcW w:type="dxa" w:w="1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天数</w:t>
            </w:r>
          </w:p>
        </w:tc>
      </w:tr>
      <w:tr>
        <w:trPr>
          <w:cantSplit/>
        </w:trPr>
        <w:tc>
          <w:tcPr>
            <w:tcW w:type="dxa" w:w="190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示例因子</w:t>
            </w:r>
          </w:p>
        </w:tc>
        <w:tc>
          <w:tcPr>
            <w:tcW w:type="dxa" w:w="10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-0.0780</w:t>
            </w:r>
          </w:p>
        </w:tc>
        <w:tc>
          <w:tcPr>
            <w:tcW w:type="dxa" w:w="9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-8.72</w:t>
            </w:r>
          </w:p>
        </w:tc>
        <w:tc>
          <w:tcPr>
            <w:tcW w:type="dxa" w:w="11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-0.549</w:t>
            </w:r>
          </w:p>
        </w:tc>
        <w:tc>
          <w:tcPr>
            <w:tcW w:type="dxa" w:w="13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-0.1076</w:t>
            </w:r>
          </w:p>
        </w:tc>
        <w:tc>
          <w:tcPr>
            <w:tcW w:type="dxa" w:w="155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-0.736</w:t>
            </w:r>
          </w:p>
        </w:tc>
        <w:tc>
          <w:tcPr>
            <w:tcW w:type="dxa" w:w="141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282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日内振幅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-0.0736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-7.62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-0.480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-0.0830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-0.506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301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主买主卖失衡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-0.0479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-6.93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-0.437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-0.0199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-0.188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301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 日动量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-0.0276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-2.68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-0.169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-0.0558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-0.400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296</w:t>
            </w:r>
          </w:p>
        </w:tc>
      </w:tr>
    </w:tbl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按 |ICIR| 排序，示例因子最强，其次为日内振幅、主买主卖失衡和 5 日动量。所有因子均呈负向关系，其中示例因子的 Rank IC 为 −0.1076，截面排序能力最清晰。</w:t>
      </w:r>
    </w:p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2120" cy="2766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mulative_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1  四个因子的累计日度 IC（来源：本项目输出）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结论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累计 IC 在大部分样本期下行，支持负向信号的全样本描述；但累计图会隐藏近期强度变化，下一页的滚动结果显示样本尾部已出现明显衰减。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06  因子分层表现</w:t>
      </w:r>
    </w:p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lay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2  五分层平均次日收益：Q1 为低因子值组，Q5 为高因子值组（来源：本项目输出）</w:t>
      </w: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分层读数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432"/>
        <w:gridCol w:w="1432"/>
        <w:gridCol w:w="1432"/>
        <w:gridCol w:w="1432"/>
        <w:gridCol w:w="1432"/>
      </w:tblGrid>
      <w:tr>
        <w:trPr>
          <w:tblHeader w:val="true"/>
        </w:trP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因子</w:t>
            </w:r>
          </w:p>
        </w:tc>
        <w:tc>
          <w:tcPr>
            <w:tcW w:type="dxa" w:w="14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Q1</w:t>
            </w:r>
          </w:p>
        </w:tc>
        <w:tc>
          <w:tcPr>
            <w:tcW w:type="dxa" w:w="14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Q2</w:t>
            </w:r>
          </w:p>
        </w:tc>
        <w:tc>
          <w:tcPr>
            <w:tcW w:type="dxa" w:w="14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Q3</w:t>
            </w:r>
          </w:p>
        </w:tc>
        <w:tc>
          <w:tcPr>
            <w:tcW w:type="dxa" w:w="14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Q4</w:t>
            </w:r>
          </w:p>
        </w:tc>
        <w:tc>
          <w:tcPr>
            <w:tcW w:type="dxa" w:w="14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Q5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示例因子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0.206%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0.170%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0.120%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0.029%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-0.295%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 日动量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0.062%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0.124%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0.127%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0.094%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-0.081%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主买主卖失衡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0.080%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0.028%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0.054%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0.038%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-0.044%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日内振幅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0.071%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0.078%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0.111%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0.092%</w:t>
            </w:r>
          </w:p>
        </w:tc>
        <w:tc>
          <w:tcPr>
            <w:tcW w:type="dxa" w:w="14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-0.195%</w:t>
            </w:r>
          </w:p>
        </w:tc>
      </w:tr>
    </w:tbl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示例因子的层间差异最显著：Q1 平均次日收益 0.206%，Q5 为 −0.295%。日内振幅的 Q5 也明显为负，说明高波动股票次日表现偏弱。5 日动量和主买主卖失衡的单调性较弱，应在组合中给予较低或更动态的权重。</w:t>
      </w: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07  因子稳健性与漂移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为避免只用全样本平均 IC 下结论，新增 60 日滚动 IC、前后半段、高/低波动状态和 5 日分块 bootstrap（2,000 次）。右图的置信区间描述全样本统计不确定性，左图则展示时变强度。</w:t>
      </w:r>
    </w:p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23560" cy="2108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robustn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10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3  60 日滚动平均 IC 与 block-bootstrap 95% 置信区间（来源：本项目输出）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50"/>
        <w:gridCol w:w="2200"/>
        <w:gridCol w:w="1300"/>
        <w:gridCol w:w="1300"/>
        <w:gridCol w:w="1810"/>
      </w:tblGrid>
      <w:tr>
        <w:trPr>
          <w:tblHeader w:val="true"/>
        </w:trP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因子</w:t>
            </w:r>
          </w:p>
        </w:tc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平均 IC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95% CI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前半段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后半段</w:t>
            </w:r>
          </w:p>
        </w:tc>
        <w:tc>
          <w:tcPr>
            <w:tcW w:type="dxa" w:w="18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历史方向命中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示例因子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-0.0780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[-0.0959, -0.0585]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-0.1057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-0.0504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72.1%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日内振幅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-0.0736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[-0.0927, -0.0541]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-0.0865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-0.0608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68.7%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主买主卖失衡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-0.0479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[-0.0610, -0.0336]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-0.0594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-0.0364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68.3%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 日动量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-0.0276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[-0.0445, -0.0099]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-0.0362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-0.0190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56.5%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双重结论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四个因子的 95% CI 均不跨 0，前后半段方向也一致；但样本尾部滚动 IC 明显上行，部分接近或跨过 0。因此可以说“全样本负向关系有统计支持”，不能说“强度始终稳定”。未获得真实行业/市值暴露表，中性化仍是待办项。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08  IC 加权组合回测设计</w:t>
      </w: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组合规则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设定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初始资金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10,000,000 元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持仓数量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每日 Top 10，等权配置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因子权重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过去 60 日平均 IC；综合排序时反映方向和强度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调仓价格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分别在收盘价与次日开盘价执行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费用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卖出手续费 0.05%，买入免费；首次建仓不收卖出费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可交易约束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当日成交量大于 0 才能新建仓；停牌持仓记为 locked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信息时序：修正版与 Naive 对照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660"/>
        <w:gridCol w:w="3100"/>
      </w:tblGrid>
      <w:tr>
        <w:trPr>
          <w:tblHeader w:val="true"/>
        </w:trP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版本</w:t>
            </w:r>
          </w:p>
        </w:tc>
        <w:tc>
          <w:tcPr>
            <w:tcW w:type="dxa" w:w="46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交易日 t 使用的信息</w:t>
            </w:r>
          </w:p>
        </w:tc>
        <w:tc>
          <w:tcPr>
            <w:tcW w:type="dxa" w:w="3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60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8"/>
              </w:rPr>
              <w:t>修正版</w:t>
            </w:r>
          </w:p>
        </w:tc>
        <w:tc>
          <w:tcPr>
            <w:tcW w:type="dxa" w:w="466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8"/>
              </w:rPr>
              <w:t>使用 t−1 因子；IC 权重只用截至 t−2 已实现收益</w:t>
            </w:r>
          </w:p>
        </w:tc>
        <w:tc>
          <w:tcPr>
            <w:tcW w:type="dxa" w:w="310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8"/>
              </w:rPr>
              <w:t>交易时信息可得，可用于策略评价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Naive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用尚未发生的次日收益计算当日 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含前视偏差，只作为错误示范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为什么必须保留 Naive 对照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异常高收益并不是一个值得庆祝的策略结果，而是一种诊断信号。把错误版本和修正版放在同一张图上，可以直观看出轻微的信息泄漏如何把普通策略“放大”为不现实的绩效。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研究边界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当前费用模型只计卖出手续费，未加入冲击成本、滑点和涨跌停限制。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日均卖出换手较高，真实成交后的收益很可能低于回测结果。</w:t>
      </w: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09  回测结果与前视偏差对照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472"/>
        <w:gridCol w:w="1472"/>
        <w:gridCol w:w="1472"/>
        <w:gridCol w:w="1472"/>
        <w:gridCol w:w="1572"/>
      </w:tblGrid>
      <w:tr>
        <w:trPr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策略</w:t>
            </w:r>
          </w:p>
        </w:tc>
        <w:tc>
          <w:tcPr>
            <w:tcW w:type="dxa" w:w="14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累计收益</w:t>
            </w:r>
          </w:p>
        </w:tc>
        <w:tc>
          <w:tcPr>
            <w:tcW w:type="dxa" w:w="14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年化收益</w:t>
            </w:r>
          </w:p>
        </w:tc>
        <w:tc>
          <w:tcPr>
            <w:tcW w:type="dxa" w:w="14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年化波动</w:t>
            </w:r>
          </w:p>
        </w:tc>
        <w:tc>
          <w:tcPr>
            <w:tcW w:type="dxa" w:w="14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夏普</w:t>
            </w:r>
          </w:p>
        </w:tc>
        <w:tc>
          <w:tcPr>
            <w:tcW w:type="dxa" w:w="15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最大回撤</w:t>
            </w:r>
          </w:p>
        </w:tc>
      </w:tr>
      <w:tr>
        <w:trPr>
          <w:cantSplit/>
        </w:trPr>
        <w:tc>
          <w:tcPr>
            <w:tcW w:type="dxa" w:w="190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修正版·收盘</w:t>
            </w:r>
          </w:p>
        </w:tc>
        <w:tc>
          <w:tcPr>
            <w:tcW w:type="dxa" w:w="1472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37.13%</w:t>
            </w:r>
          </w:p>
        </w:tc>
        <w:tc>
          <w:tcPr>
            <w:tcW w:type="dxa" w:w="1472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32.87%</w:t>
            </w:r>
          </w:p>
        </w:tc>
        <w:tc>
          <w:tcPr>
            <w:tcW w:type="dxa" w:w="1472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20.11%</w:t>
            </w:r>
          </w:p>
        </w:tc>
        <w:tc>
          <w:tcPr>
            <w:tcW w:type="dxa" w:w="1472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1.63</w:t>
            </w:r>
          </w:p>
        </w:tc>
        <w:tc>
          <w:tcPr>
            <w:tcW w:type="dxa" w:w="1572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22222"/>
                <w:sz w:val="17"/>
              </w:rPr>
              <w:t>-20.42%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修正版·开盘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34.40%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30.49%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20.73%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1.47</w:t>
            </w:r>
          </w:p>
        </w:tc>
        <w:tc>
          <w:tcPr>
            <w:tcW w:type="dxa" w:w="15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-25.76%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Naive·收盘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2782.55%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1583.50%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24.79%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63.89</w:t>
            </w:r>
          </w:p>
        </w:tc>
        <w:tc>
          <w:tcPr>
            <w:tcW w:type="dxa" w:w="15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-5.62%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Naive·开盘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876.30%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578.03%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25.35%</w:t>
            </w:r>
          </w:p>
        </w:tc>
        <w:tc>
          <w:tcPr>
            <w:tcW w:type="dxa" w:w="14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22.80</w:t>
            </w:r>
          </w:p>
        </w:tc>
        <w:tc>
          <w:tcPr>
            <w:tcW w:type="dxa" w:w="15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-8.50%</w:t>
            </w:r>
          </w:p>
        </w:tc>
      </w:tr>
    </w:tbl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680" cy="3766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76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4  四组策略净值与回撤曲线（来源：本项目输出）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修正版收盘调仓略优于开盘调仓：累计收益 37.13%，夏普率 1.63，最大回撤 −20.42%。Naive 收盘策略累计收益达到 2,782.55%，但这是利用未来信息形成的虚假优势，不能作为策略有效性的证据。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可汇报的正确结论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修正信息时序后，策略仍获得正收益并保留一定风险调整后表现；与此同时，Naive 与修正版的巨大落差证明了回测框架对前视偏差非常敏感。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10  换手约束与成本压力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在修正信息时序之后，进一步用 Top 20 缓冲区、每日最多替换 3 只、流动性与高波动过滤限制换手。成本压力使用买卖对称的单边 bps。为保证成本可比，本轮在样本末全部退出：旧 output/backtest 不强制清仓为 37.13%，本轮同规则为 37.06%、标准 Sharpe 1.51；差 0.07 个百分点来自终止清仓成本，不是数据变化。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1.441→0.601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14.73 bps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22.82%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-17.16%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日均总换手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对称单边盈亏平衡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换手约束版·题设费用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换手约束版·毛回撤</w:t>
            </w:r>
          </w:p>
        </w:tc>
      </w:tr>
    </w:tbl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23560" cy="21088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test_robustn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10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5  换手约束前后的对称成本压力与题设费用净值（来源：本项目输出）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250"/>
        <w:gridCol w:w="1800"/>
        <w:gridCol w:w="2710"/>
      </w:tblGrid>
      <w:tr>
        <w:trPr>
          <w:tblHeader w:val="true"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对称单边成本</w:t>
            </w:r>
          </w:p>
        </w:tc>
        <w:tc>
          <w:tcPr>
            <w:tcW w:type="dxa" w:w="2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累计收益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夏普</w:t>
            </w:r>
          </w:p>
        </w:tc>
        <w:tc>
          <w:tcPr>
            <w:tcW w:type="dxa" w:w="27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最大回撤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 bps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28.09%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1.29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-17.16%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 bps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17.77%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0.89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-18.99%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10 bps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8.28%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-21.04%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20 bps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-8.49%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-0.34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-25.02%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成本门槛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换手约束版在 5 bps 和 10 bps 时仍分别为 +17.77% 和 +8.28%，到 20 bps 转为 -8.49%。这比不计滑点的单点收益更能说明策略边界；容量、冲击成本和涨跌停仍未纳入。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11  分钟 LSTM：数据与模型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LSTM 部分将分钟级 11 个原始字段转为过去信息特征，预测下一分钟相对当前分钟是下跌、平价还是上涨。工程同时保留非平价二分类模型作为方向诊断，但明确披露其条件覆盖率。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模块</w:t>
            </w:r>
          </w:p>
        </w:tc>
        <w:tc>
          <w:tcPr>
            <w:tcW w:type="dxa" w:w="7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设定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样本股票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000012.SZ、000014.SZ、000019.SZ、000020.SZ、000027.SZ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输入特征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11 个基础特征；增强分支加入价差、失衡、滚动收益/波动和时段特征，共 25 个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序列长度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60 分钟；窗口严格处于同一交易日、同一连续竞价时段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标签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主口径保留所有合法时点：down / flat / up；方向诊断仅评价非平价样本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网络结构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三分类 LSTM 与“变动/平价 + 条件方向”两阶段模型等权融合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训练控制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按日期切分；标准化仅拟合训练集；固定种子；验证集早停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数据划分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165,790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6,490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5,900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43.68%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全窗口训练样本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全窗口验证样本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全窗口测试样本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测试集平价比例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避免数据泄漏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训练、验证、测试按日期顺序切分，不随机打乱到同一天内部。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标准化均值和方差仅使用训练集拟合。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窗口不跨越午休和交易日，标签只取窗口结束后的紧邻一分钟。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模型产物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output/lstm_full/model.pt 自包含三个模型权重、各自标准化参数、融合规则和置信阈值；验收脚本会从原始分钟表重放并逐样本核对概率。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12  LSTM 主口径测试结果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46.88%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43.68%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55.60%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64.10%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全窗口 Accuracy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多数类基线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平衡档 · 覆盖 30.85%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严格档 · 覆盖 9.68%</w:t>
            </w:r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100"/>
        <w:gridCol w:w="5060"/>
      </w:tblGrid>
      <w:tr>
        <w:trPr>
          <w:tblHeader w:val="true"/>
        </w:trP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指标</w:t>
            </w:r>
          </w:p>
        </w:tc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结果</w:t>
            </w:r>
          </w:p>
        </w:tc>
        <w:tc>
          <w:tcPr>
            <w:tcW w:type="dxa" w:w="50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8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Macro F1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0.4587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三类等权衡量；不让平价多数类掩盖方向识别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非平价方向诊断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68.10%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仅覆盖 56.32% 合法时点，不能与全窗口结果直接比较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Confusion matrix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[[841, 636, 258], [736, 1324, 517], [366, 621, 601]]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8"/>
              </w:rPr>
              <w:t>类别顺序为 [down, flat, up]</w:t>
            </w:r>
          </w:p>
        </w:tc>
      </w:tr>
    </w:tbl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0283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2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6  三组件 LSTM 的训练损失与验证准确率（来源：本项目输出）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全窗口准确率比训练先验冻结的 flat 基线高 3.20 个百分点。置信度由预测概率计算，平衡档在约 30% 覆盖下提高到 55.60%，严格档在约 10% 覆盖下达到 64.10%。但多数类不是足够强的门槛，下一页将与线性模型和树模型同样本对照。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谨慎解读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68.10% 是事后限定下一分钟非平价的条件方向准确率；77.46% 也是同一条件内的高置信结果，都不能冒充全窗口表现。本轮已多次查看固定测试日期段，新增数据上的滚动样本外检验才是下一步无偏确认。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13  强基线与验证集冻结调整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在相同 5 只股票、相同 5,900 个测试窗口上，用训练集拟合的 180 维序列摘要比较 Logistic Regression 与 HistGradientBoosting；所有超参、LSTM 内部融合参数和 LSTM+树模型权重均在验证集冻结后才读取测试集。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690"/>
        <w:gridCol w:w="1690"/>
        <w:gridCol w:w="1690"/>
        <w:gridCol w:w="1690"/>
      </w:tblGrid>
      <w:tr>
        <w:trPr>
          <w:tblHeader w:val="true"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模型</w:t>
            </w:r>
          </w:p>
        </w:tc>
        <w:tc>
          <w:tcPr>
            <w:tcW w:type="dxa" w:w="169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Accuracy</w:t>
            </w:r>
          </w:p>
        </w:tc>
        <w:tc>
          <w:tcPr>
            <w:tcW w:type="dxa" w:w="169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Macro F1</w:t>
            </w:r>
          </w:p>
        </w:tc>
        <w:tc>
          <w:tcPr>
            <w:tcW w:type="dxa" w:w="169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Brier↓</w:t>
            </w:r>
          </w:p>
        </w:tc>
        <w:tc>
          <w:tcPr>
            <w:tcW w:type="dxa" w:w="169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NLL↓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flat 先验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43.68%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0.2027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0.6507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1.0755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Logistic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46.58%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0.4283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0.6213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1.0238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HistGB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46.80%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0.4602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0.6050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0.9927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原 LSTM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46.88%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0.4587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0.6079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0.9979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验证调整 LSTM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46.97%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0.4676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0.6117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1.0025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LSTM + HistGB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47.31%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0.4639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0.6032</w:t>
            </w:r>
          </w:p>
        </w:tc>
        <w:tc>
          <w:tcPr>
            <w:tcW w:type="dxa" w:w="16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0.9906</w:t>
            </w:r>
          </w:p>
        </w:tc>
      </w:tr>
    </w:tbl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2120" cy="22695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stm_hybrid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26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7  原 LSTM、HistGB 与验证集冻结混合模型的分类与概率指标（来源：本项目输出）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不宣称显著领先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内部调整将 move bias 从 −0.05 调至 -0.16、joint weight 从 0.50 调至 0.34；混合模型的 LSTM/HistGB 权重为 0.49/0.51。验证调整 LSTM 对 HistGB 的 adjusted-only/tree-only 正确数为 480/470，McNemar exact p=0.770；原 LSTM 对 HistGB p=0.894；混合对原 LSTM/HistGB 也为 p=0.269/0.165。均不显著，说明树模型已是必须正面回答的强基线。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14  结构消融、概率校准与日期漂移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46.61%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46.11%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1.93%→1.52%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42.20%–52.54%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joint-only Accuracy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two-stage Macro F1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测试 top-label ECE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逐日 Accuracy 范围</w:t>
            </w:r>
          </w:p>
        </w:tc>
      </w:tr>
    </w:tbl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17007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stm_research_diagnostic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8  冻结模型的逐日表现、可靠性和结构消融（来源：本项目输出）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120"/>
        <w:gridCol w:w="2120"/>
        <w:gridCol w:w="2120"/>
      </w:tblGrid>
      <w:tr>
        <w:trPr>
          <w:tblHeader w:val="true"/>
        </w:trPr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冻结分支</w:t>
            </w:r>
          </w:p>
        </w:tc>
        <w:tc>
          <w:tcPr>
            <w:tcW w:type="dxa" w:w="2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Accuracy</w:t>
            </w:r>
          </w:p>
        </w:tc>
        <w:tc>
          <w:tcPr>
            <w:tcW w:type="dxa" w:w="2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Macro F1</w:t>
            </w:r>
          </w:p>
        </w:tc>
        <w:tc>
          <w:tcPr>
            <w:tcW w:type="dxa" w:w="2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Brier↓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joint-only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46.61%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0.4479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0.6078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two-stage-only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46.47%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0.4611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0.6123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融合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46.88%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0.4587</w:t>
            </w:r>
          </w:p>
        </w:tc>
        <w:tc>
          <w:tcPr>
            <w:tcW w:type="dxa" w:w="2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0.6079</w:t>
            </w:r>
          </w:p>
        </w:tc>
      </w:tr>
    </w:tbl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融合只小幅提高 Accuracy，two-stage-only 的 Macro F1 反而更高。温度 1.329 仅用验证集拟合：验证 NLL 从 1.0079 降至 1.0020；测试 ECE 从 1.93% 降至 1.52%。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校准边界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测试 NLL 只从 0.997853 小幅改善到 0.997734，Brier 却从 0.607875 变差到 0.608260。因此保留原概率为主产物，校准版只作可选诊断；逐日准确率标准差约 2.78%，也证明固定测试段内存在状态漂移。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15  从预测概率到分钟交易信号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将 score = P(up) − P(down) 转为仓位；flat 为最大概率时不交易，横截面权重归一化为单位毛暴露，午休、隔夜和预热缺口前主动平仓。收益按同一 target_time 横截面先聚合，再按时间复利；标签与实现收益逐样本一致率为 100%。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+5.67%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+2.54%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83.72%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6.68 bps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原 LSTM strict·多空·5 bps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原 LSTM strict·只做多·5 bps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原 LSTM strict·活跃方向命中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只做多盈亏平衡成本</w:t>
            </w:r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1550"/>
        <w:gridCol w:w="2000"/>
        <w:gridCol w:w="1730"/>
        <w:gridCol w:w="1730"/>
      </w:tblGrid>
      <w:tr>
        <w:trPr>
          <w:tblHeader w:val="true"/>
        </w:trP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模型/方向</w:t>
            </w:r>
          </w:p>
        </w:tc>
        <w:tc>
          <w:tcPr>
            <w:tcW w:type="dxa" w:w="15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活跃率</w:t>
            </w:r>
          </w:p>
        </w:tc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5 bps 净收益</w:t>
            </w:r>
          </w:p>
        </w:tc>
        <w:tc>
          <w:tcPr>
            <w:tcW w:type="dxa" w:w="173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日均换手</w:t>
            </w:r>
          </w:p>
        </w:tc>
        <w:tc>
          <w:tcPr>
            <w:tcW w:type="dxa" w:w="173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盈亏平衡</w:t>
            </w:r>
          </w:p>
        </w:tc>
      </w:tr>
      <w:tr>
        <w:trPr>
          <w:cantSplit/>
        </w:trP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原 LSTM·多空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4.36%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+5.67%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40.58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6.36 bps</w:t>
            </w:r>
          </w:p>
        </w:tc>
      </w:tr>
      <w:tr>
        <w:trPr>
          <w:cantSplit/>
        </w:trP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混合·多空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3.80%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+0.09%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39.14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5.02 bps</w:t>
            </w:r>
          </w:p>
        </w:tc>
      </w:tr>
      <w:tr>
        <w:trPr>
          <w:cantSplit/>
        </w:trP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原 LSTM·只做多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1.47%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+2.54%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14.92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6.68 bps</w:t>
            </w:r>
          </w:p>
        </w:tc>
      </w:tr>
      <w:tr>
        <w:trPr>
          <w:cantSplit/>
        </w:trP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混合·只做多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1.34%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+1.70%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14.21</w:t>
            </w:r>
          </w:p>
        </w:tc>
        <w:tc>
          <w:tcPr>
            <w:tcW w:type="dxa" w:w="1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6.18 bps</w:t>
            </w:r>
          </w:p>
        </w:tc>
      </w:tr>
    </w:tbl>
    <w:p>
      <w:pPr>
        <w:keepNext w:val="0"/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0916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cost_sensitiv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91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40" w:lineRule="auto"/>
        <w:jc w:val="center"/>
      </w:pPr>
      <w:r>
        <w:rPr>
          <w:rFonts w:ascii="Arial Unicode MS" w:hAnsi="Arial Unicode MS" w:eastAsia="Arial Unicode MS"/>
          <w:b w:val="0"/>
          <w:i/>
          <w:color w:val="5B6573"/>
          <w:sz w:val="17"/>
        </w:rPr>
        <w:t>图 9  原 LSTM 多空分钟信号的成本敏感性与盈亏平衡成本（来源：本项目输出）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分类改进 ≠ 经济价值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混合模型的分类 Accuracy 更高，但 strict 多空/只做多在 5 bps 后仅为 +0.09%/+1.70%，低于原 LSTM。且回测仅 10 个交易日，假设可在 window-end close 零延迟成交，成本为线性模型；多空还未计借券成本。高 Sharpe 不具有长期推断意义。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16  一折真实 walk-forward 流程演练</w:t>
      </w:r>
    </w:p>
    <w:p>
      <w:pPr>
        <w:keepNext w:val="0"/>
        <w:spacing w:before="0" w:after="100" w:line="269" w:lineRule="auto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为验证“每折重新训练、每折独立冻结”的执行链路，已实际跑完 manifest 第 1 折。标准化、三个组件、融合参数和置信阈值均在该折训练/验证日期内重新拟合，融合冻结后才读取测试日期。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54.46%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46.54%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46.95%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2E74B5"/>
                <w:sz w:val="32"/>
              </w:rPr>
              <w:t>106.5 s</w:t>
            </w:r>
          </w:p>
        </w:tc>
      </w:tr>
      <w:tr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fold-01 Accuracy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fold-01 Macro F1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fold-01 flat 基线</w:t>
            </w:r>
          </w:p>
        </w:tc>
        <w:tc>
          <w:tcPr>
            <w:tcW w:type="dxa" w:w="2340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7"/>
              </w:rPr>
              <w:t>CPU 训练墙钟时间</w:t>
            </w:r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3500"/>
        <w:gridCol w:w="4110"/>
      </w:tblGrid>
      <w:tr>
        <w:trPr>
          <w:tblHeader w:val="true"/>
        </w:trPr>
        <w:tc>
          <w:tcPr>
            <w:tcW w:type="dxa" w:w="1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环节</w:t>
            </w:r>
          </w:p>
        </w:tc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日期/参数</w:t>
            </w:r>
          </w:p>
        </w:tc>
        <w:tc>
          <w:tcPr>
            <w:tcW w:type="dxa" w:w="41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实际样本或结果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训练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2025-04-01 — 2025-12-23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106,200 个全窗口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验证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2025-12-24 — 2026-01-08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5,900；选定 move bias=0.20、joint weight=0.70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测试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2026-01-09 — 2026-01-22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5,900；只在冻结后读取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缩小模型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5 股；hidden=32；1 层；4 epochs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CPU；早停 patience=2；batch=512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流程输出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验证集冻结的 balanced 档在测试集为 71.80% Accuracy / 27.29% 覆盖。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验证集冻结的 strict 档为 92.71% Accuracy / 10.93% 覆盖。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保存独立 model.pt、逐样本预测、测试指标和 OOS 聚合报告；严格重载复算与保存结果一致。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只是流程示范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这一折使用 hidden=32、1 层、4 epochs 的缩小网络，不应与主模型比较优劣。11 折 manifest 已生成，但当前仅实跑 1 折；在所有折独立重训并汇总最差折之前，不将 54.46% 包装为已证实的滚动样本外优势。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17  总结、局限与下一步</w:t>
      </w: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项目结论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工程层面：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数据、因子、回测、模型和交易信号已形成可重放流水线，56/56 项自动化测试通过。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因子层面：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四个因子的全样本负向 IC 置信区间不跨 0，但滚动 IC 在样本尾部明显衰减，不应宣称强度恒定。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回测层面：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修正前视偏差后仍有正收益；换手约束提高了对称成本盈亏平衡点，但 20 bps 时已转负。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模型层面：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LSTM 与 HistGB 在同一测试集基本打平；验证集冻结的内部调整和混合虽有小幅数值改善，但 McNemar 检验均不显著。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/>
          <w:i w:val="0"/>
          <w:color w:val="222222"/>
          <w:sz w:val="20"/>
        </w:rPr>
        <w:t>交易层面：</w:t>
      </w: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原 LSTM strict 信号在 5 bps 下保持正收益，但仅覆盖 10 个交易日并假设零延迟成交；分类改善不等于经济价值改善。</w:t>
      </w:r>
    </w:p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当前局限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局限</w:t>
            </w:r>
          </w:p>
        </w:tc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影响</w:t>
            </w:r>
          </w:p>
        </w:tc>
        <w:tc>
          <w:tcPr>
            <w:tcW w:type="dxa" w:w="4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7"/>
              </w:rPr>
              <w:t>改进方向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因子存在时变强度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固定方向/权重可能在未来失效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扩展日期，按市场状态监控；获取行业/市值暴露后中性化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日频回测仍缺容量与冲击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高换手下线性费用会低估成交损失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加入滑点、冲击、涨跌停、可交易容量和扩容曲线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LSTM 与树模型未显著拉开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复杂网络的额外价值尚未证实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以强基线为门槛，优先做新数据和差分显著性检验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分钟信号仅 10 日且零延迟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成本敏感，高 Sharpe 无法长期外推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使用可实现的下单延迟、借券费和更长样本重测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walk-forward 只实跑 1 折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已证明流程可执行，未证明多状态稳健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7"/>
              </w:rPr>
              <w:t>将剩余折全部独立重训，汇报聚合值、最差折和方差</w:t>
            </w:r>
          </w:p>
        </w:tc>
      </w:tr>
    </w:tbl>
    <w:p>
      <w:pPr>
        <w:pStyle w:val="Heading2"/>
        <w:keepNext/>
        <w:spacing w:before="160" w:after="10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26"/>
        </w:rPr>
        <w:t>下一阶段优先级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第一优先：以新到日期完成其余 walk-forward 折的独立重训与最差折检验。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第二优先：将可实现延迟、冲击、容量和借券费纳入两类回测。</w:t>
      </w:r>
    </w:p>
    <w:p>
      <w:pPr>
        <w:pStyle w:val="ListBullet"/>
        <w:keepNext w:val="0"/>
        <w:spacing w:before="0" w:after="80" w:line="264" w:lineRule="auto"/>
        <w:ind w:left="346" w:hanging="230"/>
      </w:pPr>
      <w:r>
        <w:rPr>
          <w:rFonts w:ascii="Arial Unicode MS" w:hAnsi="Arial Unicode MS" w:eastAsia="Arial Unicode MS"/>
          <w:b w:val="0"/>
          <w:i w:val="0"/>
          <w:color w:val="222222"/>
          <w:sz w:val="20"/>
        </w:rPr>
        <w:t>第三优先：获取行业/市值暴露，完成因子中性化和状态监控。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最终判断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本项目的差异化已从“只报涨跌准确率”扩展到三分类概率、可选择覆盖、强基线、成本压力和交易闭环。但现有证据支持的是“流程更完整、边界更透明”，而不是“LSTM 已显著超过树模型”。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0" w:after="160" w:line="252" w:lineRule="auto"/>
      </w:pPr>
      <w:r>
        <w:rPr>
          <w:rFonts w:ascii="Arial Unicode MS" w:hAnsi="Arial Unicode MS" w:eastAsia="Arial Unicode MS"/>
          <w:b/>
          <w:i w:val="0"/>
          <w:color w:val="2E74B5"/>
          <w:sz w:val="32"/>
        </w:rPr>
        <w:t>附录  建议汇报节奏与复现命令</w:t>
      </w:r>
    </w:p>
    <w:p>
      <w:pPr>
        <w:pStyle w:val="Heading2"/>
        <w:keepNext/>
        <w:spacing w:before="80" w:after="60" w:line="240" w:lineRule="auto"/>
      </w:pPr>
      <w:r>
        <w:rPr>
          <w:rFonts w:ascii="Arial Unicode MS" w:hAnsi="Arial Unicode MS" w:eastAsia="Arial Unicode MS"/>
          <w:b/>
          <w:i w:val="0"/>
          <w:color w:val="2E74B5"/>
          <w:sz w:val="24"/>
        </w:rPr>
        <w:t>8–10 分钟汇报节奏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50"/>
        <w:gridCol w:w="5910"/>
      </w:tblGrid>
      <w:tr>
        <w:trPr>
          <w:tblHeader w:val="true"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6"/>
              </w:rPr>
              <w:t>时间</w:t>
            </w:r>
          </w:p>
        </w:tc>
        <w:tc>
          <w:tcPr>
            <w:tcW w:type="dxa" w:w="2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6"/>
              </w:rPr>
              <w:t>内容</w:t>
            </w:r>
          </w:p>
        </w:tc>
        <w:tc>
          <w:tcPr>
            <w:tcW w:type="dxa" w:w="59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16"/>
              </w:rPr>
              <w:t>讲述重点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0:00–0:45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项目概览</w:t>
            </w:r>
          </w:p>
        </w:tc>
        <w:tc>
          <w:tcPr>
            <w:tcW w:type="dxa" w:w="5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一句话介绍完整流水线与四项核心结果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0:45–2:15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数据与工程修正</w:t>
            </w:r>
          </w:p>
        </w:tc>
        <w:tc>
          <w:tcPr>
            <w:tcW w:type="dxa" w:w="5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强调复权、242 分钟、停牌、15:00 和全量验收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2:15–4:00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因子与稳健性</w:t>
            </w:r>
          </w:p>
        </w:tc>
        <w:tc>
          <w:tcPr>
            <w:tcW w:type="dxa" w:w="5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解释负 IC，同时披露样本尾部漂移和中性化缺口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4:00–5:45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策略回测</w:t>
            </w:r>
          </w:p>
        </w:tc>
        <w:tc>
          <w:tcPr>
            <w:tcW w:type="dxa" w:w="5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信息时序、换手约束、成本压力及终止清仓口径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5:45–7:45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模型证据</w:t>
            </w:r>
          </w:p>
        </w:tc>
        <w:tc>
          <w:tcPr>
            <w:tcW w:type="dxa" w:w="5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强基线、消融、校准、验证集冻结混合和不显著结论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7:45–9:15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预测到交易</w:t>
            </w:r>
          </w:p>
        </w:tc>
        <w:tc>
          <w:tcPr>
            <w:tcW w:type="dxa" w:w="5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strict 信号、10 日/零延迟限制与分类—经济价值差异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9:15–10:00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局限与下一步</w:t>
            </w:r>
          </w:p>
        </w:tc>
        <w:tc>
          <w:tcPr>
            <w:tcW w:type="dxa" w:w="5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16"/>
              </w:rPr>
              <w:t>一折 walk-forward 仅为流程演练，优先扩展新样本</w:t>
            </w:r>
          </w:p>
        </w:tc>
      </w:tr>
    </w:tbl>
    <w:p>
      <w:pPr>
        <w:pStyle w:val="Heading2"/>
        <w:keepNext/>
        <w:spacing w:before="80" w:after="60" w:line="240" w:lineRule="auto"/>
      </w:pPr>
      <w:r>
        <w:rPr>
          <w:rFonts w:ascii="Arial Unicode MS" w:hAnsi="Arial Unicode MS" w:eastAsia="Arial Unicode MS"/>
          <w:b/>
          <w:i w:val="0"/>
          <w:color w:val="2E74B5"/>
          <w:sz w:val="24"/>
        </w:rPr>
        <w:t>推荐开场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8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可直接口述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这个项目的目标不是只报一个涨跌准确率，而是把 300 只股票、302 个交易日的逐笔数据转为可复现的研究流水线，并用强基线、成本压力和预测到交易的闭环说清模型到底增加了什么价值。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80" w:after="60" w:line="240" w:lineRule="auto"/>
      </w:pPr>
      <w:r>
        <w:rPr>
          <w:rFonts w:ascii="Arial Unicode MS" w:hAnsi="Arial Unicode MS" w:eastAsia="Arial Unicode MS"/>
          <w:b/>
          <w:i w:val="0"/>
          <w:color w:val="2E74B5"/>
          <w:sz w:val="24"/>
        </w:rPr>
        <w:t>推荐收尾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9FC"/>
          </w:tcPr>
          <w:p>
            <w:pPr>
              <w:keepNext w:val="0"/>
              <w:spacing w:before="0" w:after="60" w:line="259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F4D78"/>
                <w:sz w:val="20"/>
              </w:rPr>
              <w:t xml:space="preserve">可直接口述  </w:t>
            </w:r>
            <w:r>
              <w:rPr>
                <w:rFonts w:ascii="Arial Unicode MS" w:hAnsi="Arial Unicode MS" w:eastAsia="Arial Unicode MS"/>
                <w:b w:val="0"/>
                <w:i w:val="0"/>
                <w:color w:val="222222"/>
                <w:sz w:val="20"/>
              </w:rPr>
              <w:t>最终结果表明，工程口径、信息时序和交易假设对结论的影响不亚于模型本身。LSTM 与树模型尚无显著差异，但项目已把概率、覆盖率、成本和可交易性放在同一套证据链中。下一步应用新数据完成多折重训，并加入可实现的成交延迟和冲击。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80" w:after="60" w:line="240" w:lineRule="auto"/>
      </w:pPr>
      <w:r>
        <w:rPr>
          <w:rFonts w:ascii="Arial Unicode MS" w:hAnsi="Arial Unicode MS" w:eastAsia="Arial Unicode MS"/>
          <w:b/>
          <w:i w:val="0"/>
          <w:color w:val="2E74B5"/>
          <w:sz w:val="24"/>
        </w:rPr>
        <w:t>核心复现命令（已有数据产物）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keepNext w:val="0"/>
              <w:spacing w:before="0" w:after="0" w:line="240" w:lineRule="auto"/>
            </w:pP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cd quant_downsampler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scripts.run_factor_eval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scripts.run_factor_robustness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scripts.run_backtest --lookback 60 --top-n 10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scripts.run_backtest_robustness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scripts.run_lstm_full --stocks 5 --epochs 12 --device cpu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scripts.run_lstm_baselines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scripts.adjust_lstm_fusion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scripts.run_lstm_hybrid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scripts.run_lstm_research --evaluate-components --calibrate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scripts.run_lstm_strategy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unittest discover -s tests -v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B2F36"/>
                <w:sz w:val="15"/>
              </w:rPr>
              <w:t>python -m scripts.validate_outputs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center"/>
      <w:tblLayout w:type="fixed"/>
      <w:tblLook w:firstColumn="1" w:firstRow="1" w:lastColumn="0" w:lastRow="0" w:noHBand="0" w:noVBand="1" w:val="04A0"/>
      <w:tblInd w:w="120" w:type="dxa"/>
    </w:tblPr>
    <w:tblGrid>
      <w:gridCol w:w="6500"/>
      <w:gridCol w:w="2860"/>
    </w:tblGrid>
    <w:tr>
      <w:tc>
        <w:tcPr>
          <w:tcW w:type="dxa" w:w="6500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keepNext w:val="0"/>
            <w:spacing w:before="0" w:after="0" w:line="264" w:lineRule="auto"/>
            <w:jc w:val="left"/>
          </w:pPr>
          <w:r>
            <w:rPr>
              <w:rFonts w:ascii="Arial Unicode MS" w:hAnsi="Arial Unicode MS" w:eastAsia="Arial Unicode MS"/>
              <w:b w:val="0"/>
              <w:i w:val="0"/>
              <w:color w:val="5B6573"/>
              <w:sz w:val="17"/>
            </w:rPr>
            <w:t>数据区间：2025-04-01—2026-06-30</w:t>
          </w:r>
        </w:p>
      </w:tc>
      <w:tc>
        <w:tcPr>
          <w:tcW w:type="dxa" w:w="2860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right"/>
          </w:pPr>
          <w:r>
            <w:rPr>
              <w:rFonts w:ascii="Arial Unicode MS" w:hAnsi="Arial Unicode MS" w:eastAsia="Arial Unicode MS"/>
              <w:b w:val="0"/>
              <w:i w:val="0"/>
              <w:color w:val="5B6573"/>
              <w:sz w:val="17"/>
            </w:rPr>
            <w:t xml:space="preserve">第 </w:t>
          </w:r>
          <w:fldSimple w:instr="PAGE"/>
          <w:r>
            <w:rPr>
              <w:rFonts w:ascii="Arial Unicode MS" w:hAnsi="Arial Unicode MS" w:eastAsia="Arial Unicode MS"/>
              <w:b w:val="0"/>
              <w:i w:val="0"/>
              <w:color w:val="5B6573"/>
              <w:sz w:val="17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64" w:lineRule="auto"/>
      <w:jc w:val="left"/>
      <w:pBdr>
        <w:bottom w:val="single" w:sz="6" w:space="2" w:color="D9DEE5"/>
      </w:pBdr>
    </w:pPr>
    <w:r>
      <w:rPr>
        <w:rFonts w:ascii="Arial Unicode MS" w:hAnsi="Arial Unicode MS" w:eastAsia="Arial Unicode MS"/>
        <w:b w:val="0"/>
        <w:i w:val="0"/>
        <w:color w:val="5B6573"/>
        <w:sz w:val="17"/>
      </w:rPr>
      <w:t>兆信基金量化任务  ·  项目展示文档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逐笔成交数据降采样与量化研究</dc:title>
  <dc:subject>兆信基金量化任务项目展示文档</dc:subject>
  <dc:creator>项目组</dc:creator>
  <cp:keywords>量化研究, 因子, 回测, LSTM, 逐笔成交</cp:keywords>
  <dc:description>由当前项目真实输出自动整理生成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