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兆信基金量化任务</w:t>
      </w:r>
    </w:p>
    <w:p>
      <w:pPr>
        <w:keepNext w:val="0"/>
        <w:spacing w:before="0" w:after="32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52"/>
        </w:rPr>
        <w:t>逐笔成交数据降采样与量化研究</w:t>
      </w:r>
    </w:p>
    <w:p>
      <w:pPr>
        <w:keepNext w:val="0"/>
        <w:spacing w:before="0" w:after="560" w:line="240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5B6573"/>
          <w:sz w:val="26"/>
        </w:rPr>
        <w:t>因子构建 · IC 评价 · 策略回测 · LSTM 分钟预测</w:t>
      </w:r>
    </w:p>
    <w:p>
      <w:pPr>
        <w:jc w:val="center"/>
        <w:pBdr>
          <w:bottom w:val="single" w:sz="18" w:space="1" w:color="2E74B5"/>
        </w:pBdr>
      </w:pPr>
      <w:r>
        <w:rPr>
          <w:rFonts w:ascii="Hiragino Sans GB" w:hAnsi="Hiragino Sans GB" w:eastAsia="Hiragino Sans GB"/>
          <w:b w:val="0"/>
          <w:i w:val="0"/>
          <w:color w:val="222222"/>
          <w:sz w:val="4"/>
        </w:rPr>
      </w:r>
    </w:p>
    <w:p>
      <w:pPr>
        <w:keepNext w:val="0"/>
        <w:spacing w:before="0" w:after="160" w:line="264" w:lineRule="auto"/>
        <w:jc w:val="center"/>
      </w:pPr>
      <w:r>
        <w:rPr>
          <w:rFonts w:ascii="Hiragino Sans GB" w:hAnsi="Hiragino Sans GB" w:eastAsia="Hiragino Sans GB"/>
          <w:b/>
          <w:i w:val="0"/>
          <w:color w:val="5B6573"/>
          <w:sz w:val="24"/>
        </w:rPr>
        <w:t>项目展示文档</w:t>
      </w:r>
    </w:p>
    <w:p>
      <w:pPr>
        <w:keepNext w:val="0"/>
        <w:spacing w:before="0" w:after="6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5B6573"/>
          <w:sz w:val="21"/>
        </w:rPr>
        <w:t>数据区间：2025-04-01—2026-06-30</w:t>
      </w:r>
    </w:p>
    <w:p>
      <w:pPr>
        <w:jc w:val="center"/>
      </w:pPr>
      <w:r>
        <w:rPr>
          <w:rFonts w:ascii="Hiragino Sans GB" w:hAnsi="Hiragino Sans GB" w:eastAsia="Hiragino Sans GB"/>
          <w:b w:val="0"/>
          <w:i w:val="0"/>
          <w:color w:val="5B6573"/>
          <w:sz w:val="21"/>
        </w:rPr>
        <w:t>2026 年 8 月</w:t>
      </w: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01  项目概览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本项目完成了一条从逐笔成交数据清洗、日频/分钟频降采样，到多因子评价、组合回测和分钟级深度学习预测的完整研究流水线。所有结果均来自当前工程目录，可由脚本重新生成并复核。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300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302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11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3,322</w:t>
            </w:r>
          </w:p>
        </w:tc>
      </w:tr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股票数量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交易日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日/分钟字段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分钟 CSV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核心成果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数据工程：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生成 11 张 302×300 日频宽表，以及 11×302 张 242×300 分钟宽表；300 只股票复权因子全部匹配。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因子研究：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构建示例因子与 3 个新增因子；四个因子平均 IC 均为负，说明低因子值一侧整体表现更强。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修正版回测：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收盘调仓累计收益 37.13%，年化收益 32.87%，夏普率 1.63；开盘调仓累计收益 34.40%。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LSTM：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全窗口跌/平/涨 Accuracy 46.88%，高于 43.68% 多数类基线；验证集定义的置信筛选可在 30.85% 覆盖下达到 55.60%。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一句话结论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工程结果可复现，因子方向清晰，修正版策略具备样本内研究价值；但高换手、样本期较短和交易成本简化意味着结果仍需更严格的稳健性检验。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建议汇报主线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先讲清楚数据口径和关键修正，再用因子分层解释信号方向，最后用“Naive 与修正版对照”强调信息时序的重要性，并以 LSTM 作为对分钟数据利用方式的补充。</w:t>
      </w: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02  任务范围与数据流水线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输入与输出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300"/>
        <w:gridCol w:w="316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层级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输入/处理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输出规模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关键口径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逐笔成交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Time / Price / Volume / BSFlag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300 只股票 × 302 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价格为整数分；买卖方向来自 BSFlag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日频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按交易日聚合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 张 302×300 宽表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停牌 OHLC 延用前收；成交字段为 0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分钟频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连续竞价按分钟聚合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11×302 张 242×300 宽表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上午 121 行 + 下午 121 行，含 15:00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研究输出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因子 / 回测 / LSTM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CSV、JSON、PNG、模型包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所有报告由脚本按当前数据生成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统一复权口径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9FC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价格复权公式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adjusted_price[date] = raw_price / 100 × adjfactor[date] / adjfactor[first_valid_date]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以每只股票样本首个有效交易日为基准归一化：样本首日价格保持原值，后续分红配股跳变得到修正。成交量、成交笔数和成交额保持真实成交口径，不进行复权。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端到端流程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5200"/>
        <w:gridCol w:w="321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步骤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处理</w:t>
            </w:r>
          </w:p>
        </w:tc>
        <w:tc>
          <w:tcPr>
            <w:tcW w:type="dxa" w:w="3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验收产物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载入股票、交易日和复权因子；统一代码后缀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300/300 一一匹配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逐笔数据聚合为日频与分钟频 11 字段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日频 11 表；分钟 3,322 文件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构建 4 个因子并计算分层、IC 与 Rank IC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评价表、分层收益、图表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IC 加权 Top 10 回测，并构造前视偏差对照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4 组净值与完整指标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LSTM 预测下一分钟跌/平/涨，并保留非平价方向诊断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单模型与三组件模型包、逐样本概率、测试指标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03  工程检查后的关键修正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项目的主要难点不在“能否生成文件”，而在输出口径是否严格、研究信息是否可得。修复集中在以下四类问题。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50"/>
        <w:gridCol w:w="301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问题</w:t>
            </w:r>
          </w:p>
        </w:tc>
        <w:tc>
          <w:tcPr>
            <w:tcW w:type="dxa" w:w="4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修正方式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股票代码格式不一致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逐笔文件六位代码与 adjfactor 的 .SH/.SZ 后缀统一映射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300 只股票全部匹配复权因子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分钟边界与集合竞价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固定 09:30–11:30、13:00–15:00；14:57–14:59 等待，15:00 记录撮合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每张分钟表严格 242 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停牌与无成交分钟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停牌日 OHLC 延用前收；连续竞价无成交分钟延用前一分钟 close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避免错误零价格和伪收益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回测存在前视偏差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交易日 t 用 t-1 因子；IC 权重只使用截至 t-2 已实现收益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策略指标回归可解释范围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LSTM 标签边界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标签比较 close[t+1] 与 close[t]；全窗口保留平价；窗口不跨午休和交易日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避免用未来结果筛样本，并消除无效跨段窗口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验收结果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571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3,322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18/18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100%</w:t>
            </w:r>
          </w:p>
        </w:tc>
      </w:tr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停牌日价格单元正确回填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分钟文件全量校验通过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单元测试通过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复权代码映射覆盖</w:t>
            </w:r>
          </w:p>
        </w:tc>
      </w:tr>
    </w:tbl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文件结构、字段名称、日期格式、股票代码和矩阵尺寸均可程序化校验。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分钟频逐文件检查 242 行、300 列和两段连续竞价时间索引。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断点续跑会检查 11 个分钟字段的完整性，避免只凭“文件存在”误判成功。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展示重点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这部分体现的是研究可信度：同一份策略代码，如果价格复权、停牌、15:00 集合竞价或信息时序处理错误，后续漂亮的指标都没有意义。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04  因子设计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在任务书示例因子之外，工程严格新增 3 个因子，共 4 个信号。每个交易日进行横截面评价，预测目标为下一交易日复权收盘收益。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500"/>
        <w:gridCol w:w="2450"/>
        <w:gridCol w:w="186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因子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定义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直觉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有效方向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示例因子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log(std(MA1, MA5, MA10, MA20 of amount))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不同期限成交额均线分歧度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低值更优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5 日动量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close / close.shift(5) − 1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短期价格趋势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整体偏反转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主买主卖失衡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(buy_volume − sell_volume) / (buy_volume + sell_volume)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主动交易方向差异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高值未带来更高次日收益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日内振幅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(high − low) / close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日内波动与情绪强度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低振幅组更优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评价指标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IC：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每日因子值与下一日收益的 Pearson 相关系数；反映线性选股能力。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Rank IC：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每日因子排名与下一日收益排名的 Spearman 相关系数；对极端值更稳健。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ICIR = mean(IC) / std(IC)，IR = √252 × ICIR；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负值代表反向有效，不等于因子无效。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五分层：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Q1 为低因子值组，Q5 为高因子值组；比较平均次日收益是否单调。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解释口径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本项目四个因子的平均 IC 都为负。因此实盘组合构建不能简单追逐“因子值越大越好”，而应结合滚动 IC 的符号和强度动态确定方向与权重。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05  因子评价结果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050"/>
        <w:gridCol w:w="950"/>
        <w:gridCol w:w="1150"/>
        <w:gridCol w:w="1350"/>
        <w:gridCol w:w="1550"/>
        <w:gridCol w:w="141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因子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IC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IR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ICIR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Rank IC</w:t>
            </w:r>
          </w:p>
        </w:tc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Rank ICIR</w:t>
            </w:r>
          </w:p>
        </w:tc>
        <w:tc>
          <w:tcPr>
            <w:tcW w:type="dxa" w:w="1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天数</w:t>
            </w:r>
          </w:p>
        </w:tc>
      </w:tr>
      <w:tr>
        <w:trPr>
          <w:cantSplit/>
        </w:trPr>
        <w:tc>
          <w:tcPr>
            <w:tcW w:type="dxa" w:w="19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示例因子</w:t>
            </w:r>
          </w:p>
        </w:tc>
        <w:tc>
          <w:tcPr>
            <w:tcW w:type="dxa" w:w="10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-0.0780</w:t>
            </w:r>
          </w:p>
        </w:tc>
        <w:tc>
          <w:tcPr>
            <w:tcW w:type="dxa" w:w="9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-8.72</w:t>
            </w:r>
          </w:p>
        </w:tc>
        <w:tc>
          <w:tcPr>
            <w:tcW w:type="dxa" w:w="11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-0.549</w:t>
            </w:r>
          </w:p>
        </w:tc>
        <w:tc>
          <w:tcPr>
            <w:tcW w:type="dxa" w:w="13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-0.1076</w:t>
            </w:r>
          </w:p>
        </w:tc>
        <w:tc>
          <w:tcPr>
            <w:tcW w:type="dxa" w:w="15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-0.736</w:t>
            </w:r>
          </w:p>
        </w:tc>
        <w:tc>
          <w:tcPr>
            <w:tcW w:type="dxa" w:w="141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282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日内振幅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-0.0736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-7.62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-0.480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-0.0830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-0.506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301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主买主卖失衡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-0.0479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-6.93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-0.437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-0.0199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-0.188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301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5 日动量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-0.0276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-2.68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-0.169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-0.0558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-0.400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296</w:t>
            </w:r>
          </w:p>
        </w:tc>
      </w:tr>
    </w:tbl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按 |ICIR| 排序，示例因子最强，其次为日内振幅、主买主卖失衡和 5 日动量。所有因子均呈负向关系，其中示例因子的 Rank IC 为 −0.1076，截面排序能力最清晰。</w:t>
      </w:r>
    </w:p>
    <w:p>
      <w:pPr>
        <w:keepNext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2766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Hiragino Sans GB" w:hAnsi="Hiragino Sans GB" w:eastAsia="Hiragino Sans GB"/>
          <w:b w:val="0"/>
          <w:i/>
          <w:color w:val="5B6573"/>
          <w:sz w:val="17"/>
        </w:rPr>
        <w:t>图 1  四个因子的累计日度 IC（来源：本项目输出）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结论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累计 IC 走势整体向下且较持续，说明信号方向不是少数交易日造成的偶然结果；后续回测应使用滚动历史 IC 决定方向，而非预设正向。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06  因子分层表现</w:t>
      </w:r>
    </w:p>
    <w:p>
      <w:pPr>
        <w:keepNext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Hiragino Sans GB" w:hAnsi="Hiragino Sans GB" w:eastAsia="Hiragino Sans GB"/>
          <w:b w:val="0"/>
          <w:i/>
          <w:color w:val="5B6573"/>
          <w:sz w:val="17"/>
        </w:rPr>
        <w:t>图 2  五分层平均次日收益：Q1 为低因子值组，Q5 为高因子值组（来源：本项目输出）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分层读数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32"/>
        <w:gridCol w:w="1432"/>
        <w:gridCol w:w="1432"/>
        <w:gridCol w:w="1432"/>
        <w:gridCol w:w="1432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因子</w:t>
            </w:r>
          </w:p>
        </w:tc>
        <w:tc>
          <w:tcPr>
            <w:tcW w:type="dxa" w:w="14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Q1</w:t>
            </w:r>
          </w:p>
        </w:tc>
        <w:tc>
          <w:tcPr>
            <w:tcW w:type="dxa" w:w="14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Q2</w:t>
            </w:r>
          </w:p>
        </w:tc>
        <w:tc>
          <w:tcPr>
            <w:tcW w:type="dxa" w:w="14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Q3</w:t>
            </w:r>
          </w:p>
        </w:tc>
        <w:tc>
          <w:tcPr>
            <w:tcW w:type="dxa" w:w="14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Q4</w:t>
            </w:r>
          </w:p>
        </w:tc>
        <w:tc>
          <w:tcPr>
            <w:tcW w:type="dxa" w:w="14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Q5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示例因子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0.206%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0.170%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0.120%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0.029%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-0.295%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5 日动量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0.062%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0.124%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0.127%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0.094%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-0.081%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主买主卖失衡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0.080%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0.028%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0.054%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0.038%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-0.044%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日内振幅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0.071%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0.078%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0.111%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0.092%</w:t>
            </w:r>
          </w:p>
        </w:tc>
        <w:tc>
          <w:tcPr>
            <w:tcW w:type="dxa" w:w="1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-0.195%</w:t>
            </w:r>
          </w:p>
        </w:tc>
      </w:tr>
    </w:tbl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示例因子的层间差异最显著：Q1 平均次日收益 0.206%，Q5 为 −0.295%。日内振幅的 Q5 也明显为负，说明高波动股票次日表现偏弱。5 日动量和主买主卖失衡的单调性较弱，应在组合中给予较低或更动态的权重。</w:t>
      </w: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07  IC 加权组合回测设计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组合规则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初始资金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10,000,000 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持仓数量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每日 Top 10，等权配置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因子权重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过去 60 日平均 IC；综合排序时反映方向和强度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调仓价格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分别在收盘价与次日开盘价执行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费用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卖出手续费 0.05%，买入免费；首次建仓不收卖出费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可交易约束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当日成交量大于 0 才能新建仓；停牌持仓记为 locked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信息时序：修正版与 Naive 对照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60"/>
        <w:gridCol w:w="31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版本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交易日 t 使用的信息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6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8"/>
              </w:rPr>
              <w:t>修正版</w:t>
            </w:r>
          </w:p>
        </w:tc>
        <w:tc>
          <w:tcPr>
            <w:tcW w:type="dxa" w:w="4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8"/>
              </w:rPr>
              <w:t>使用 t−1 因子；IC 权重只用截至 t−2 已实现收益</w:t>
            </w:r>
          </w:p>
        </w:tc>
        <w:tc>
          <w:tcPr>
            <w:tcW w:type="dxa" w:w="31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8"/>
              </w:rPr>
              <w:t>交易时信息可得，可用于策略评价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Naive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用尚未发生的次日收益计算当日 IC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含前视偏差，只作为错误示范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为什么必须保留 Naive 对照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异常高收益并不是一个值得庆祝的策略结果，而是一种诊断信号。把错误版本和修正版放在同一张图上，可以直观看出轻微的信息泄漏如何把普通策略“放大”为不现实的绩效。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研究边界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当前费用模型只计卖出手续费，未加入冲击成本、滑点和涨跌停限制。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日均卖出换手较高，真实成交后的收益很可能低于回测结果。</w:t>
      </w: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08  回测结果与前视偏差对照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472"/>
        <w:gridCol w:w="1472"/>
        <w:gridCol w:w="1472"/>
        <w:gridCol w:w="1472"/>
        <w:gridCol w:w="1572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策略</w:t>
            </w:r>
          </w:p>
        </w:tc>
        <w:tc>
          <w:tcPr>
            <w:tcW w:type="dxa" w:w="1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累计收益</w:t>
            </w:r>
          </w:p>
        </w:tc>
        <w:tc>
          <w:tcPr>
            <w:tcW w:type="dxa" w:w="1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年化收益</w:t>
            </w:r>
          </w:p>
        </w:tc>
        <w:tc>
          <w:tcPr>
            <w:tcW w:type="dxa" w:w="1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年化波动</w:t>
            </w:r>
          </w:p>
        </w:tc>
        <w:tc>
          <w:tcPr>
            <w:tcW w:type="dxa" w:w="1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夏普</w:t>
            </w:r>
          </w:p>
        </w:tc>
        <w:tc>
          <w:tcPr>
            <w:tcW w:type="dxa" w:w="15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最大回撤</w:t>
            </w:r>
          </w:p>
        </w:tc>
      </w:tr>
      <w:tr>
        <w:trPr>
          <w:cantSplit/>
        </w:trPr>
        <w:tc>
          <w:tcPr>
            <w:tcW w:type="dxa" w:w="190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修正版·收盘</w:t>
            </w:r>
          </w:p>
        </w:tc>
        <w:tc>
          <w:tcPr>
            <w:tcW w:type="dxa" w:w="1472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37.13%</w:t>
            </w:r>
          </w:p>
        </w:tc>
        <w:tc>
          <w:tcPr>
            <w:tcW w:type="dxa" w:w="1472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32.87%</w:t>
            </w:r>
          </w:p>
        </w:tc>
        <w:tc>
          <w:tcPr>
            <w:tcW w:type="dxa" w:w="1472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20.11%</w:t>
            </w:r>
          </w:p>
        </w:tc>
        <w:tc>
          <w:tcPr>
            <w:tcW w:type="dxa" w:w="1472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1.63</w:t>
            </w:r>
          </w:p>
        </w:tc>
        <w:tc>
          <w:tcPr>
            <w:tcW w:type="dxa" w:w="1572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22222"/>
                <w:sz w:val="17"/>
              </w:rPr>
              <w:t>-20.42%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修正版·开盘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34.40%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30.49%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20.73%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1.47</w:t>
            </w:r>
          </w:p>
        </w:tc>
        <w:tc>
          <w:tcPr>
            <w:tcW w:type="dxa" w:w="1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-25.76%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Naive·收盘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2782.55%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1583.50%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24.79%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63.89</w:t>
            </w:r>
          </w:p>
        </w:tc>
        <w:tc>
          <w:tcPr>
            <w:tcW w:type="dxa" w:w="1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-5.62%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Naive·开盘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876.30%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578.03%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25.35%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22.80</w:t>
            </w:r>
          </w:p>
        </w:tc>
        <w:tc>
          <w:tcPr>
            <w:tcW w:type="dxa" w:w="1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-8.50%</w:t>
            </w:r>
          </w:p>
        </w:tc>
      </w:tr>
    </w:tbl>
    <w:p>
      <w:pPr>
        <w:keepNext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376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Hiragino Sans GB" w:hAnsi="Hiragino Sans GB" w:eastAsia="Hiragino Sans GB"/>
          <w:b w:val="0"/>
          <w:i/>
          <w:color w:val="5B6573"/>
          <w:sz w:val="17"/>
        </w:rPr>
        <w:t>图 3  四组策略净值与回撤曲线（来源：本项目输出）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修正版收盘调仓略优于开盘调仓：累计收益 37.13%，夏普率 1.63，最大回撤 −20.42%。Naive 收盘策略累计收益达到 2,782.55%，但这是利用未来信息形成的虚假优势，不能作为策略有效性的证据。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可汇报的正确结论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修正信息时序后，策略仍获得正收益并保留一定风险调整后表现；与此同时，Naive 与修正版的巨大落差证明了回测框架对前视偏差非常敏感。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09  分钟 LSTM：数据与模型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LSTM 部分将分钟级 11 个原始字段转为过去信息特征，预测下一分钟相对当前分钟是下跌、平价还是上涨。工程同时保留非平价二分类模型作为方向诊断，但明确披露其条件覆盖率。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模块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设定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样本股票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000012.SZ、000014.SZ、000019.SZ、000020.SZ、000027.SZ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输入特征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11 个基础特征；增强分支加入价差、失衡、滚动收益/波动和时段特征，共 25 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序列长度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60 分钟；窗口严格处于同一交易日、同一连续竞价时段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标签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主口径保留所有合法时点：down / flat / up；方向诊断仅评价非平价样本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网络结构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三分类 LSTM 与“变动/平价 + 条件方向”两阶段模型等权融合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训练控制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按日期切分；标准化仅拟合训练集；固定种子；验证集早停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数据划分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165,790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6,490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5,900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43.68%</w:t>
            </w:r>
          </w:p>
        </w:tc>
      </w:tr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全窗口训练样本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全窗口验证样本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全窗口测试样本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测试集平价比例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避免数据泄漏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训练、验证、测试按日期顺序切分，不随机打乱到同一天内部。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标准化均值和方差仅使用训练集拟合。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窗口不跨越午休和交易日，标签只取窗口结束后的紧邻一分钟。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模型产物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output/lstm_full/model.pt 自包含三个模型权重、各自标准化参数、融合规则和置信阈值；验收脚本会从原始分钟表重放并逐样本核对概率。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10  LSTM 测试结果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46.88%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43.68%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55.60%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32"/>
              </w:rPr>
              <w:t>64.10%</w:t>
            </w:r>
          </w:p>
        </w:tc>
      </w:tr>
      <w:tr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全窗口 Accuracy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多数类基线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平衡档 · 覆盖 30.85%</w:t>
            </w:r>
          </w:p>
        </w:tc>
        <w:tc>
          <w:tcPr>
            <w:tcW w:type="dxa" w:w="234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5B6573"/>
                <w:sz w:val="17"/>
              </w:rPr>
              <w:t>严格档 · 覆盖 9.68%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指标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结果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Macro F1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0.4587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三类等权衡量；不让平价多数类掩盖方向识别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非平价方向诊断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68.10%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仅覆盖 56.32% 合法时点，不能与全窗口结果直接比较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Confusion matrix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[[841, 636, 258], [736, 1324, 517], [366, 621, 601]]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类别顺序为 [down, flat, up]</w:t>
            </w:r>
          </w:p>
        </w:tc>
      </w:tr>
    </w:tbl>
    <w:p>
      <w:pPr>
        <w:keepNext w:val="0"/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28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2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Hiragino Sans GB" w:hAnsi="Hiragino Sans GB" w:eastAsia="Hiragino Sans GB"/>
          <w:b w:val="0"/>
          <w:i/>
          <w:color w:val="5B6573"/>
          <w:sz w:val="17"/>
        </w:rPr>
        <w:t>图 4  三组件 LSTM 的训练损失与验证准确率（来源：本项目输出）</w:t>
      </w:r>
    </w:p>
    <w:p>
      <w:pPr>
        <w:keepNext w:val="0"/>
        <w:spacing w:before="0" w:after="100" w:line="269" w:lineRule="auto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全窗口准确率比多数类基线高 3.20 个百分点。置信度由预测概率本身计算，平衡档在约 30% 覆盖下提高到 55.60%，严格档在约 10% 覆盖下达到 64.10%；这是准确率与可用信号数量之间的透明权衡。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谨慎解读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68.10% 是事后限定下一分钟非平价的条件方向准确率；77.46% 也是同一条件内的高置信结果，都不能冒充全窗口表现。本轮已多次查看固定测试日期段，新增数据上的滚动样本外检验才是下一步无偏确认。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11  总结、局限与下一步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项目结论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工程层面：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已形成可断点续跑、可全量校验、可自动出报告的完整流水线。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因子层面：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示例因子和日内振幅的反向信号最稳定；分层结果与 IC 方向一致。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回测层面：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修正版策略保留正收益和一定夏普表现；Naive 对照清晰暴露前视偏差。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/>
          <w:i w:val="0"/>
          <w:color w:val="222222"/>
          <w:sz w:val="20"/>
        </w:rPr>
        <w:t>模型层面：</w:t>
      </w: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全窗口 LSTM 高于多数类基线，置信筛选进一步提升准确率；条件二分类结果已与覆盖率绑定披露。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当前局限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局限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影响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改进方向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样本期约 302 个交易日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市场状态覆盖有限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滚动扩展样本，做年度和行情分段检验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回测换手较高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真实冲击成本可能侵蚀收益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加入双边手续费、滑点、容量和涨跌停约束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因子数量少且相关性未展开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组合稳定性可能受单一信号驱动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增加中性化、相关性筛选和因子正交化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LSTM 仅 5 只股票且测试段已被审阅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横截面泛化与严格盲测尚未完成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扩展股票池，以新增日期做滚动样本外和概率校准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下一阶段优先级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第一优先：把真实交易成本和成交限制加入修正版回测。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第二优先：对因子做行业/市值中性化与滚动稳健性检验。</w:t>
      </w:r>
    </w:p>
    <w:p>
      <w:pPr>
        <w:pStyle w:val="ListBullet"/>
        <w:keepNext w:val="0"/>
        <w:spacing w:before="0" w:after="80" w:line="264" w:lineRule="auto"/>
        <w:ind w:left="346" w:hanging="230"/>
      </w:pPr>
      <w:r>
        <w:rPr>
          <w:rFonts w:ascii="Hiragino Sans GB" w:hAnsi="Hiragino Sans GB" w:eastAsia="Hiragino Sans GB"/>
          <w:b w:val="0"/>
          <w:i w:val="0"/>
          <w:color w:val="222222"/>
          <w:sz w:val="20"/>
        </w:rPr>
        <w:t>第三优先：把 LSTM 输出接入可交易规则，评价收益、换手和容量，而不只看分类准确率。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最终判断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本项目已经完成从数据工程到研究闭环的基础建设；当前最有价值的下一步不是继续增加模型复杂度，而是提高样本外检验和真实交易约束的严格度。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0" w:after="16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附录  建议汇报节奏与复现命令</w:t>
      </w: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8–10 分钟汇报节奏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50"/>
        <w:gridCol w:w="591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时间</w:t>
            </w:r>
          </w:p>
        </w:tc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内容</w:t>
            </w:r>
          </w:p>
        </w:tc>
        <w:tc>
          <w:tcPr>
            <w:tcW w:type="dxa" w:w="5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7"/>
              </w:rPr>
              <w:t>讲述重点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0:00–0:45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项目概览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一句话介绍完整流水线与四项核心结果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0:45–2:15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数据与工程修正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强调复权、242 分钟、停牌、15:00 和全量验收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2:15–4:15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因子与评价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解释负 IC 的含义，用分层图说明低值组更优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4:15–6:30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策略回测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先讲信息时序，再对比修正版与 Naive，避免误读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6:30–8:00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LSTM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区分全窗口与条件口径，展示准确率—覆盖率权衡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8:00–9:00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局限与下一步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交易成本、样本外、因子中性化、模型可交易化</w:t>
            </w:r>
          </w:p>
        </w:tc>
      </w:tr>
    </w:tbl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推荐开场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可直接口述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这个项目的目标不是只做一个回测，而是把 300 只股票、302 个交易日的逐笔成交数据转化为一套可复现的研究流水线。我会依次展示数据降采样、因子有效性、无前视偏差的组合回测，以及分钟 LSTM 预测结果。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推荐收尾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9FC"/>
          </w:tcPr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20"/>
              </w:rPr>
              <w:t xml:space="preserve">可直接口述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0"/>
              </w:rPr>
              <w:t>最终结果表明，工程口径和信息时序对量化研究的影响不亚于模型本身。修正这些问题后，策略仍有正向表现，分钟模型在全窗口口径下也超过基线，并可通过置信阈值换取更高准确率；下一步应优先验证交易成本和新增样本外稳健性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52" w:lineRule="auto"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复现命令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2" w:lineRule="auto"/>
            </w:pP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cd quant_downsampler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pip install -r requirements.txt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scripts.smoke_test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scripts.run_step1 --overwrite --days-per-chunk 5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scripts.run_factor_eval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scripts.run_backtest --lookback 60 --top-n 10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scripts.run_lstm --stocks 5 --epochs 12 --seed 42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scripts.run_lstm_full --stocks 5 --epochs 12 --device cpu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scripts.evaluate_lstm_full --split test</w:t>
            </w:r>
            <w:r>
              <w:br/>
            </w:r>
            <w:r>
              <w:rPr>
                <w:rFonts w:ascii="Courier New" w:hAnsi="Courier New" w:eastAsia="Hiragino Sans GB"/>
                <w:b w:val="0"/>
                <w:i w:val="0"/>
                <w:color w:val="2B2F36"/>
                <w:sz w:val="17"/>
              </w:rPr>
              <w:t>python -m scripts.validate_outputs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6500"/>
      <w:gridCol w:w="2860"/>
    </w:tblGrid>
    <w:tr>
      <w:tc>
        <w:tcPr>
          <w:tcW w:type="dxa" w:w="65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keepNext w:val="0"/>
            <w:spacing w:before="0" w:after="0" w:line="264" w:lineRule="auto"/>
            <w:jc w:val="left"/>
          </w:pPr>
          <w:r>
            <w:rPr>
              <w:rFonts w:ascii="Hiragino Sans GB" w:hAnsi="Hiragino Sans GB" w:eastAsia="Hiragino Sans GB"/>
              <w:b w:val="0"/>
              <w:i w:val="0"/>
              <w:color w:val="5B6573"/>
              <w:sz w:val="17"/>
            </w:rPr>
            <w:t>数据区间：2025-04-01—2026-06-30</w:t>
          </w:r>
        </w:p>
      </w:tc>
      <w:tc>
        <w:tcPr>
          <w:tcW w:type="dxa" w:w="28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Hiragino Sans GB" w:hAnsi="Hiragino Sans GB" w:eastAsia="Hiragino Sans GB"/>
              <w:b w:val="0"/>
              <w:i w:val="0"/>
              <w:color w:val="5B6573"/>
              <w:sz w:val="17"/>
            </w:rPr>
            <w:t xml:space="preserve">第 </w:t>
          </w:r>
          <w:fldSimple w:instr="PAGE"/>
          <w:r>
            <w:rPr>
              <w:rFonts w:ascii="Hiragino Sans GB" w:hAnsi="Hiragino Sans GB" w:eastAsia="Hiragino Sans GB"/>
              <w:b w:val="0"/>
              <w:i w:val="0"/>
              <w:color w:val="5B6573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  <w:pBdr>
        <w:bottom w:val="single" w:sz="6" w:space="2" w:color="D9DEE5"/>
      </w:pBdr>
    </w:pPr>
    <w:r>
      <w:rPr>
        <w:rFonts w:ascii="Hiragino Sans GB" w:hAnsi="Hiragino Sans GB" w:eastAsia="Hiragino Sans GB"/>
        <w:b w:val="0"/>
        <w:i w:val="0"/>
        <w:color w:val="5B6573"/>
        <w:sz w:val="17"/>
      </w:rPr>
      <w:t>兆信基金量化任务  ·  项目展示文档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逐笔成交数据降采样与量化研究</dc:title>
  <dc:subject>兆信基金量化任务项目展示文档</dc:subject>
  <dc:creator>项目组</dc:creator>
  <cp:keywords>量化研究, 因子, 回测, LSTM, 逐笔成交</cp:keywords>
  <dc:description>由当前项目真实输出自动整理生成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