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600" w:after="360" w:line="264" w:lineRule="auto"/>
        <w:jc w:val="center"/>
      </w:pPr>
      <w:r>
        <w:rPr>
          <w:rFonts w:ascii="Calibri" w:hAnsi="Calibri" w:eastAsia="Microsoft YaHei"/>
          <w:b/>
          <w:i w:val="0"/>
          <w:color w:val="2E74B5"/>
          <w:sz w:val="24"/>
        </w:rPr>
        <w:t>量化研究项目</w:t>
      </w:r>
    </w:p>
    <w:p>
      <w:pPr>
        <w:spacing w:before="0" w:after="120" w:line="264" w:lineRule="auto"/>
        <w:jc w:val="center"/>
      </w:pPr>
      <w:r>
        <w:rPr>
          <w:rFonts w:ascii="Calibri" w:hAnsi="Calibri" w:eastAsia="Microsoft YaHei"/>
          <w:b/>
          <w:i w:val="0"/>
          <w:color w:val="0B2545"/>
          <w:sz w:val="58"/>
        </w:rPr>
        <w:t>兆信基金笔试题</w:t>
      </w:r>
    </w:p>
    <w:p>
      <w:pPr>
        <w:spacing w:before="0" w:after="480" w:line="264" w:lineRule="auto"/>
        <w:jc w:val="center"/>
      </w:pPr>
      <w:r>
        <w:rPr>
          <w:rFonts w:ascii="Calibri" w:hAnsi="Calibri" w:eastAsia="Microsoft YaHei"/>
          <w:b w:val="0"/>
          <w:i w:val="0"/>
          <w:color w:val="1F4D78"/>
          <w:sz w:val="34"/>
        </w:rPr>
        <w:t>完整结果报告（最终修订版）</w:t>
      </w:r>
    </w:p>
    <w:p>
      <w:pPr>
        <w:spacing w:before="0" w:after="1400" w:line="264" w:lineRule="auto"/>
        <w:jc w:val="center"/>
      </w:pPr>
      <w:r>
        <w:rPr>
          <w:rFonts w:ascii="Calibri" w:hAnsi="Calibri" w:eastAsia="Microsoft YaHei"/>
          <w:b w:val="0"/>
          <w:i w:val="0"/>
          <w:color w:val="666666"/>
          <w:sz w:val="22"/>
        </w:rPr>
        <w:t>逐笔降采样 · 因子评价 · 无前视回测 · 因子学习 · LSTM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3360"/>
        <w:gridCol w:w="2880"/>
        <w:gridCol w:w="3120"/>
      </w:tblGrid>
      <w:tr>
        <w:trPr>
          <w:tblHeader w:val="true"/>
        </w:trPr>
        <w:tc>
          <w:tcPr>
            <w:tcW w:type="dxa" w:w="3360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样本区间</w:t>
            </w:r>
          </w:p>
        </w:tc>
        <w:tc>
          <w:tcPr>
            <w:tcW w:type="dxa" w:w="2880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股票范围</w:t>
            </w:r>
          </w:p>
        </w:tc>
        <w:tc>
          <w:tcPr>
            <w:tcW w:type="dxa" w:w="3120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报告日期</w:t>
            </w:r>
          </w:p>
        </w:tc>
      </w:tr>
      <w:tr>
        <w:tc>
          <w:tcPr>
            <w:tcW w:type="dxa" w:w="33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 w:eastAsia="Microsoft YaHei"/>
                <w:sz w:val="20"/>
              </w:rPr>
              <w:t>2025-04-01 至 2026-06-30</w:t>
            </w:r>
          </w:p>
        </w:tc>
        <w:tc>
          <w:tcPr>
            <w:tcW w:type="dxa" w:w="288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40" w:after="40" w:line="252" w:lineRule="auto"/>
              <w:jc w:val="center"/>
            </w:pPr>
            <w:r>
              <w:rPr>
                <w:rFonts w:ascii="Calibri" w:hAnsi="Calibri" w:eastAsia="Microsoft YaHei"/>
                <w:sz w:val="20"/>
              </w:rPr>
              <w:t>300 只匿名股票</w:t>
            </w:r>
          </w:p>
        </w:tc>
        <w:tc>
          <w:tcPr>
            <w:tcW w:type="dxa" w:w="31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40" w:after="40" w:line="252" w:lineRule="auto"/>
              <w:jc w:val="center"/>
            </w:pPr>
            <w:r>
              <w:rPr>
                <w:rFonts w:ascii="Calibri" w:hAnsi="Calibri" w:eastAsia="Microsoft YaHei"/>
                <w:sz w:val="20"/>
              </w:rPr>
              <w:t>2026-08-07</w:t>
            </w:r>
          </w:p>
        </w:tc>
      </w:tr>
    </w:tbl>
    <w:p>
      <w:pPr>
        <w:spacing w:after="40"/>
      </w:pPr>
    </w:p>
    <w:p>
      <w:pPr>
        <w:spacing w:before="0" w:after="0" w:line="264" w:lineRule="auto"/>
        <w:jc w:val="center"/>
      </w:pPr>
      <w:r>
        <w:rPr>
          <w:rFonts w:ascii="Calibri" w:hAnsi="Calibri" w:eastAsia="Microsoft YaHei"/>
          <w:b w:val="0"/>
          <w:i w:val="0"/>
          <w:color w:val="666666"/>
          <w:sz w:val="19"/>
        </w:rPr>
        <w:t>研究说明：adjfactor.pkl 的六位代码可与逐笔文件完整一一映射。OHLC 已按归一化复权因子调整，成交量、成交额与成交笔数保留实际交易口径。</w:t>
      </w:r>
    </w:p>
    <w:p>
      <w:r>
        <w:br w:type="page"/>
      </w:r>
    </w:p>
    <w:p>
      <w:pPr>
        <w:pStyle w:val="Heading1"/>
        <w:keepNext/>
      </w:pPr>
      <w:r>
        <w:rPr>
          <w:rFonts w:ascii="Calibri" w:hAnsi="Calibri" w:eastAsia="Microsoft YaHei"/>
          <w:b/>
          <w:color w:val="2E74B5"/>
          <w:sz w:val="32"/>
        </w:rPr>
        <w:t>一、执行摘要</w:t>
      </w:r>
    </w:p>
    <w:p>
      <w:pPr>
        <w:spacing w:before="80" w:after="200"/>
        <w:ind w:left="173" w:right="115"/>
        <w:shd w:fill="E8EEF5"/>
        <w:pBdr>
          <w:left w:val="single" w:sz="18" w:space="8" w:color="1F4D78"/>
        </w:pBdr>
      </w:pPr>
      <w:r>
        <w:rPr>
          <w:rFonts w:ascii="Calibri" w:hAnsi="Calibri" w:eastAsia="Microsoft YaHei"/>
          <w:b/>
          <w:color w:val="1F4D78"/>
          <w:sz w:val="22"/>
        </w:rPr>
        <w:t>可信主结论：</w:t>
      </w:r>
      <w:r>
        <w:rPr>
          <w:rFonts w:ascii="Calibri" w:hAnsi="Calibri" w:eastAsia="Microsoft YaHei"/>
          <w:color w:val="0B2545"/>
          <w:sz w:val="22"/>
        </w:rPr>
        <w:t>项目已按复权、242 分钟口径完整跑通。严格 Task4 中 adaptive_close 年化复合收益 12.72%、夏普 0.848、最大回撤 -16.35%；Task5 已把平盘纳入训练，三分类全分钟准确率 45.56%、平衡准确率 46.91%、Macro F1 45.56%。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500"/>
        <w:gridCol w:w="1300"/>
        <w:gridCol w:w="6560"/>
      </w:tblGrid>
      <w:tr>
        <w:trPr>
          <w:tblHeader w:val="true"/>
        </w:trPr>
        <w:tc>
          <w:tcPr>
            <w:tcW w:type="dxa" w:w="1500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8"/>
              </w:rPr>
              <w:t>模块</w:t>
            </w:r>
          </w:p>
        </w:tc>
        <w:tc>
          <w:tcPr>
            <w:tcW w:type="dxa" w:w="1300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8"/>
              </w:rPr>
              <w:t>状态</w:t>
            </w:r>
          </w:p>
        </w:tc>
        <w:tc>
          <w:tcPr>
            <w:tcW w:type="dxa" w:w="6560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8"/>
              </w:rPr>
              <w:t>最重要结果</w:t>
            </w:r>
          </w:p>
        </w:tc>
      </w:tr>
      <w:tr>
        <w:tc>
          <w:tcPr>
            <w:tcW w:type="dxa" w:w="1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 w:eastAsia="Microsoft YaHei"/>
                <w:sz w:val="18"/>
              </w:rPr>
              <w:t>Task 1</w:t>
            </w:r>
          </w:p>
        </w:tc>
        <w:tc>
          <w:tcPr>
            <w:tcW w:type="dxa" w:w="1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40" w:after="40" w:line="252" w:lineRule="auto"/>
              <w:jc w:val="center"/>
            </w:pPr>
            <w:r>
              <w:rPr>
                <w:rFonts w:ascii="Calibri" w:hAnsi="Calibri" w:eastAsia="Microsoft YaHei"/>
                <w:sz w:val="18"/>
              </w:rPr>
              <w:t>通过</w:t>
            </w:r>
          </w:p>
        </w:tc>
        <w:tc>
          <w:tcPr>
            <w:tcW w:type="dxa" w:w="65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40" w:after="40" w:line="252" w:lineRule="auto"/>
              <w:jc w:val="center"/>
            </w:pPr>
            <w:r>
              <w:rPr>
                <w:rFonts w:ascii="Calibri" w:hAnsi="Calibri" w:eastAsia="Microsoft YaHei"/>
                <w:sz w:val="18"/>
              </w:rPr>
              <w:t>302 个交易日、300 股票；复权后分钟表 242×300</w:t>
            </w:r>
          </w:p>
        </w:tc>
      </w:tr>
      <w:tr>
        <w:tc>
          <w:tcPr>
            <w:tcW w:type="dxa" w:w="1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 w:eastAsia="Microsoft YaHei"/>
                <w:sz w:val="18"/>
              </w:rPr>
              <w:t>Task 2–3</w:t>
            </w:r>
          </w:p>
        </w:tc>
        <w:tc>
          <w:tcPr>
            <w:tcW w:type="dxa" w:w="1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40" w:after="40" w:line="252" w:lineRule="auto"/>
              <w:jc w:val="center"/>
            </w:pPr>
            <w:r>
              <w:rPr>
                <w:rFonts w:ascii="Calibri" w:hAnsi="Calibri" w:eastAsia="Microsoft YaHei"/>
                <w:sz w:val="18"/>
              </w:rPr>
              <w:t>完成</w:t>
            </w:r>
          </w:p>
        </w:tc>
        <w:tc>
          <w:tcPr>
            <w:tcW w:type="dxa" w:w="65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40" w:after="40" w:line="252" w:lineRule="auto"/>
              <w:jc w:val="center"/>
            </w:pPr>
            <w:r>
              <w:rPr>
                <w:rFonts w:ascii="Calibri" w:hAnsi="Calibri" w:eastAsia="Microsoft YaHei"/>
                <w:sz w:val="18"/>
              </w:rPr>
              <w:t>10 因子；全样本 IC 全为负，测试期多数发生符号反转</w:t>
            </w:r>
          </w:p>
        </w:tc>
      </w:tr>
      <w:tr>
        <w:tc>
          <w:tcPr>
            <w:tcW w:type="dxa" w:w="1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 w:eastAsia="Microsoft YaHei"/>
                <w:sz w:val="18"/>
              </w:rPr>
              <w:t>Task 4</w:t>
            </w:r>
          </w:p>
        </w:tc>
        <w:tc>
          <w:tcPr>
            <w:tcW w:type="dxa" w:w="1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40" w:after="40" w:line="252" w:lineRule="auto"/>
              <w:jc w:val="center"/>
            </w:pPr>
            <w:r>
              <w:rPr>
                <w:rFonts w:ascii="Calibri" w:hAnsi="Calibri" w:eastAsia="Microsoft YaHei"/>
                <w:sz w:val="18"/>
              </w:rPr>
              <w:t>完成</w:t>
            </w:r>
          </w:p>
        </w:tc>
        <w:tc>
          <w:tcPr>
            <w:tcW w:type="dxa" w:w="65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40" w:after="40" w:line="252" w:lineRule="auto"/>
              <w:jc w:val="center"/>
            </w:pPr>
            <w:r>
              <w:rPr>
                <w:rFonts w:ascii="Calibri" w:hAnsi="Calibri" w:eastAsia="Microsoft YaHei"/>
                <w:sz w:val="18"/>
              </w:rPr>
              <w:t>严格 adaptive_close 夏普 0.848；Naive 仅作泄漏对照</w:t>
            </w:r>
          </w:p>
        </w:tc>
      </w:tr>
      <w:tr>
        <w:tc>
          <w:tcPr>
            <w:tcW w:type="dxa" w:w="1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 w:eastAsia="Microsoft YaHei"/>
                <w:sz w:val="18"/>
              </w:rPr>
              <w:t>因子学习</w:t>
            </w:r>
          </w:p>
        </w:tc>
        <w:tc>
          <w:tcPr>
            <w:tcW w:type="dxa" w:w="1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40" w:after="40" w:line="252" w:lineRule="auto"/>
              <w:jc w:val="center"/>
            </w:pPr>
            <w:r>
              <w:rPr>
                <w:rFonts w:ascii="Calibri" w:hAnsi="Calibri" w:eastAsia="Microsoft YaHei"/>
                <w:sz w:val="18"/>
              </w:rPr>
              <w:t>完成</w:t>
            </w:r>
          </w:p>
        </w:tc>
        <w:tc>
          <w:tcPr>
            <w:tcW w:type="dxa" w:w="65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40" w:after="40" w:line="252" w:lineRule="auto"/>
              <w:jc w:val="center"/>
            </w:pPr>
            <w:r>
              <w:rPr>
                <w:rFonts w:ascii="Calibri" w:hAnsi="Calibri" w:eastAsia="Microsoft YaHei"/>
                <w:sz w:val="18"/>
              </w:rPr>
              <w:t>最近 45 日两模型夏普 -3.25 / -3.76</w:t>
            </w:r>
          </w:p>
        </w:tc>
      </w:tr>
      <w:tr>
        <w:tc>
          <w:tcPr>
            <w:tcW w:type="dxa" w:w="1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 w:eastAsia="Microsoft YaHei"/>
                <w:sz w:val="18"/>
              </w:rPr>
              <w:t>Task 5</w:t>
            </w:r>
          </w:p>
        </w:tc>
        <w:tc>
          <w:tcPr>
            <w:tcW w:type="dxa" w:w="1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40" w:after="40" w:line="252" w:lineRule="auto"/>
              <w:jc w:val="center"/>
            </w:pPr>
            <w:r>
              <w:rPr>
                <w:rFonts w:ascii="Calibri" w:hAnsi="Calibri" w:eastAsia="Microsoft YaHei"/>
                <w:sz w:val="18"/>
              </w:rPr>
              <w:t>完成</w:t>
            </w:r>
          </w:p>
        </w:tc>
        <w:tc>
          <w:tcPr>
            <w:tcW w:type="dxa" w:w="65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40" w:after="40" w:line="252" w:lineRule="auto"/>
              <w:jc w:val="center"/>
            </w:pPr>
            <w:r>
              <w:rPr>
                <w:rFonts w:ascii="Calibri" w:hAnsi="Calibri" w:eastAsia="Microsoft YaHei"/>
                <w:sz w:val="18"/>
              </w:rPr>
              <w:t>下跌/平盘/上涨三分类；全分钟 balanced accuracy 46.91%</w:t>
            </w:r>
          </w:p>
        </w:tc>
      </w:tr>
    </w:tbl>
    <w:p>
      <w:pPr>
        <w:spacing w:after="40"/>
      </w:pPr>
    </w:p>
    <w:p>
      <w:pPr>
        <w:pStyle w:val="ListBullet"/>
        <w:spacing w:after="160" w:line="280" w:lineRule="auto"/>
      </w:pPr>
      <w:r>
        <w:rPr>
          <w:rFonts w:ascii="Calibri" w:hAnsi="Calibri" w:eastAsia="Microsoft YaHei"/>
          <w:sz w:val="22"/>
        </w:rPr>
        <w:t>负 IC 本身不是错误：可对因子取反；稳定性和可获得时点才是决定能否交易的关键。</w:t>
      </w:r>
    </w:p>
    <w:p>
      <w:pPr>
        <w:pStyle w:val="ListBullet"/>
        <w:spacing w:after="160" w:line="280" w:lineRule="auto"/>
      </w:pPr>
      <w:r>
        <w:rPr>
          <w:rFonts w:ascii="Calibri" w:hAnsi="Calibri" w:eastAsia="Microsoft YaHei"/>
          <w:sz w:val="22"/>
        </w:rPr>
        <w:t>题目字面策略使用未来收益计算当前 IC，必然泄露。报告保留 Naive 结果只为量化偏差，不把它当作策略成绩。</w:t>
      </w:r>
    </w:p>
    <w:p>
      <w:pPr>
        <w:pStyle w:val="ListBullet"/>
        <w:spacing w:after="160" w:line="280" w:lineRule="auto"/>
      </w:pPr>
      <w:r>
        <w:rPr>
          <w:rFonts w:ascii="Calibri" w:hAnsi="Calibri" w:eastAsia="Microsoft YaHei"/>
          <w:sz w:val="22"/>
        </w:rPr>
        <w:t>复权因子可由六位代码映射到带交易所后缀的证券代码；早先的“无法映射”判断已纠正。</w:t>
      </w:r>
    </w:p>
    <w:p>
      <w:pPr>
        <w:pStyle w:val="Heading1"/>
        <w:keepNext/>
      </w:pPr>
      <w:r>
        <w:rPr>
          <w:rFonts w:ascii="Calibri" w:hAnsi="Calibri" w:eastAsia="Microsoft YaHei"/>
          <w:b/>
          <w:color w:val="2E74B5"/>
          <w:sz w:val="32"/>
        </w:rPr>
        <w:t>二、数据处理与 Task 1</w:t>
      </w:r>
    </w:p>
    <w:p>
      <w:pPr>
        <w:spacing w:before="0" w:after="120" w:line="264" w:lineRule="auto"/>
      </w:pPr>
      <w:r>
        <w:rPr>
          <w:rFonts w:ascii="Calibri" w:hAnsi="Calibri" w:eastAsia="Microsoft YaHei"/>
          <w:b w:val="0"/>
          <w:i w:val="0"/>
          <w:sz w:val="22"/>
        </w:rPr>
        <w:t>原始逐笔记录包含 Time、Price、Volume、BSFlag。价格除以 100 还原；开盘集合竞价参与日频 OHLC，但不进入连续竞价分钟表。分钟频显示 09:30–11:30 与 13:00–15:00，共 242 行；14:57–14:59 为收盘集合竞价等待行，15:00 保留撮合结果。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200"/>
        <w:gridCol w:w="2100"/>
        <w:gridCol w:w="3100"/>
        <w:gridCol w:w="2960"/>
      </w:tblGrid>
      <w:tr>
        <w:trPr>
          <w:tblHeader w:val="true"/>
        </w:trPr>
        <w:tc>
          <w:tcPr>
            <w:tcW w:type="dxa" w:w="1200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8"/>
              </w:rPr>
              <w:t>频率</w:t>
            </w:r>
          </w:p>
        </w:tc>
        <w:tc>
          <w:tcPr>
            <w:tcW w:type="dxa" w:w="2100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8"/>
              </w:rPr>
              <w:t>输出形状</w:t>
            </w:r>
          </w:p>
        </w:tc>
        <w:tc>
          <w:tcPr>
            <w:tcW w:type="dxa" w:w="3100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8"/>
              </w:rPr>
              <w:t>指标</w:t>
            </w:r>
          </w:p>
        </w:tc>
        <w:tc>
          <w:tcPr>
            <w:tcW w:type="dxa" w:w="2960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8"/>
              </w:rPr>
              <w:t>填充规则</w:t>
            </w:r>
          </w:p>
        </w:tc>
      </w:tr>
      <w:tr>
        <w:tc>
          <w:tcPr>
            <w:tcW w:type="dxa" w:w="1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 w:eastAsia="Microsoft YaHei"/>
                <w:sz w:val="18"/>
              </w:rPr>
              <w:t>日频</w:t>
            </w:r>
          </w:p>
        </w:tc>
        <w:tc>
          <w:tcPr>
            <w:tcW w:type="dxa" w:w="2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40" w:after="40" w:line="252" w:lineRule="auto"/>
              <w:jc w:val="center"/>
            </w:pPr>
            <w:r>
              <w:rPr>
                <w:rFonts w:ascii="Calibri" w:hAnsi="Calibri" w:eastAsia="Microsoft YaHei"/>
                <w:sz w:val="18"/>
              </w:rPr>
              <w:t>302×300</w:t>
            </w:r>
          </w:p>
        </w:tc>
        <w:tc>
          <w:tcPr>
            <w:tcW w:type="dxa" w:w="3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40" w:after="40" w:line="252" w:lineRule="auto"/>
              <w:jc w:val="center"/>
            </w:pPr>
            <w:r>
              <w:rPr>
                <w:rFonts w:ascii="Calibri" w:hAnsi="Calibri" w:eastAsia="Microsoft YaHei"/>
                <w:sz w:val="18"/>
              </w:rPr>
              <w:t>复权 OHLC、量、笔数、额、主买/主卖量额</w:t>
            </w:r>
          </w:p>
        </w:tc>
        <w:tc>
          <w:tcPr>
            <w:tcW w:type="dxa" w:w="29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40" w:after="40" w:line="252" w:lineRule="auto"/>
              <w:jc w:val="center"/>
            </w:pPr>
            <w:r>
              <w:rPr>
                <w:rFonts w:ascii="Calibri" w:hAnsi="Calibri" w:eastAsia="Microsoft YaHei"/>
                <w:sz w:val="18"/>
              </w:rPr>
              <w:t>OHLC 前值；成交类 0</w:t>
            </w:r>
          </w:p>
        </w:tc>
      </w:tr>
      <w:tr>
        <w:tc>
          <w:tcPr>
            <w:tcW w:type="dxa" w:w="1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 w:eastAsia="Microsoft YaHei"/>
                <w:sz w:val="18"/>
              </w:rPr>
              <w:t>分钟频</w:t>
            </w:r>
          </w:p>
        </w:tc>
        <w:tc>
          <w:tcPr>
            <w:tcW w:type="dxa" w:w="2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40" w:after="40" w:line="252" w:lineRule="auto"/>
              <w:jc w:val="center"/>
            </w:pPr>
            <w:r>
              <w:rPr>
                <w:rFonts w:ascii="Calibri" w:hAnsi="Calibri" w:eastAsia="Microsoft YaHei"/>
                <w:sz w:val="18"/>
              </w:rPr>
              <w:t>每指标 302 张 242×300</w:t>
            </w:r>
          </w:p>
        </w:tc>
        <w:tc>
          <w:tcPr>
            <w:tcW w:type="dxa" w:w="3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40" w:after="40" w:line="252" w:lineRule="auto"/>
              <w:jc w:val="center"/>
            </w:pPr>
            <w:r>
              <w:rPr>
                <w:rFonts w:ascii="Calibri" w:hAnsi="Calibri" w:eastAsia="Microsoft YaHei"/>
                <w:sz w:val="18"/>
              </w:rPr>
              <w:t>同上，共 11 类</w:t>
            </w:r>
          </w:p>
        </w:tc>
        <w:tc>
          <w:tcPr>
            <w:tcW w:type="dxa" w:w="29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40" w:after="40" w:line="252" w:lineRule="auto"/>
              <w:jc w:val="center"/>
            </w:pPr>
            <w:r>
              <w:rPr>
                <w:rFonts w:ascii="Calibri" w:hAnsi="Calibri" w:eastAsia="Microsoft YaHei"/>
                <w:sz w:val="18"/>
              </w:rPr>
              <w:t>连续竞价 OHLC 前值；成交类 0</w:t>
            </w:r>
          </w:p>
        </w:tc>
      </w:tr>
    </w:tbl>
    <w:p>
      <w:pPr>
        <w:spacing w:after="40"/>
      </w:pPr>
    </w:p>
    <w:p>
      <w:pPr>
        <w:spacing w:before="80" w:after="200"/>
        <w:ind w:left="173" w:right="115"/>
        <w:shd w:fill="E8EEF5"/>
        <w:pBdr>
          <w:left w:val="single" w:sz="18" w:space="8" w:color="1F4D78"/>
        </w:pBdr>
      </w:pPr>
      <w:r>
        <w:rPr>
          <w:rFonts w:ascii="Calibri" w:hAnsi="Calibri" w:eastAsia="Microsoft YaHei"/>
          <w:b/>
          <w:color w:val="1F4D78"/>
          <w:sz w:val="22"/>
        </w:rPr>
        <w:t>验收结果：</w:t>
      </w:r>
      <w:r>
        <w:rPr>
          <w:rFonts w:ascii="Calibri" w:hAnsi="Calibri" w:eastAsia="Microsoft YaHei"/>
          <w:color w:val="0B2545"/>
          <w:sz w:val="22"/>
        </w:rPr>
        <w:t>冒烟测试全部通过；300 个逐笔代码与复权因子 300 个证券代码完整重合；随机抽样日期的分钟结果与队友完整版本逐值一致。</w:t>
      </w:r>
    </w:p>
    <w:p>
      <w:pPr>
        <w:pStyle w:val="Heading1"/>
        <w:keepNext/>
      </w:pPr>
      <w:r>
        <w:rPr>
          <w:rFonts w:ascii="Calibri" w:hAnsi="Calibri" w:eastAsia="Microsoft YaHei"/>
          <w:b/>
          <w:color w:val="2E74B5"/>
          <w:sz w:val="32"/>
        </w:rPr>
        <w:t>三、Task 2–3：因子构建、方向与稳定性</w:t>
      </w:r>
    </w:p>
    <w:p>
      <w:pPr>
        <w:spacing w:before="0" w:after="120" w:line="264" w:lineRule="auto"/>
      </w:pPr>
      <w:r>
        <w:rPr>
          <w:rFonts w:ascii="Calibri" w:hAnsi="Calibri" w:eastAsia="Microsoft YaHei"/>
          <w:b w:val="0"/>
          <w:i w:val="0"/>
          <w:sz w:val="22"/>
        </w:rPr>
        <w:t>因子包括题目示例因子、5/10/20 日动量、5/10/20 日波动率、买卖失衡、日内振幅和 20 日量价相关。评价收益只保留信号日和下一交易日均有成交的股票，避免停牌价格前向填充产生伪零收益。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3400"/>
        <w:gridCol w:w="1300"/>
        <w:gridCol w:w="1500"/>
        <w:gridCol w:w="1600"/>
        <w:gridCol w:w="1560"/>
      </w:tblGrid>
      <w:tr>
        <w:trPr>
          <w:tblHeader w:val="true"/>
        </w:trPr>
        <w:tc>
          <w:tcPr>
            <w:tcW w:type="dxa" w:w="3400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7"/>
              </w:rPr>
              <w:t>因子</w:t>
            </w:r>
          </w:p>
        </w:tc>
        <w:tc>
          <w:tcPr>
            <w:tcW w:type="dxa" w:w="1300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7"/>
              </w:rPr>
              <w:t>IC</w:t>
            </w:r>
          </w:p>
        </w:tc>
        <w:tc>
          <w:tcPr>
            <w:tcW w:type="dxa" w:w="1500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7"/>
              </w:rPr>
              <w:t>IR/ICIR</w:t>
            </w:r>
          </w:p>
        </w:tc>
        <w:tc>
          <w:tcPr>
            <w:tcW w:type="dxa" w:w="1600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7"/>
              </w:rPr>
              <w:t>Rank IC</w:t>
            </w:r>
          </w:p>
        </w:tc>
        <w:tc>
          <w:tcPr>
            <w:tcW w:type="dxa" w:w="1560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7"/>
              </w:rPr>
              <w:t>有效日</w:t>
            </w:r>
          </w:p>
        </w:tc>
      </w:tr>
      <w:tr>
        <w:tc>
          <w:tcPr>
            <w:tcW w:type="dxa" w:w="34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 w:eastAsia="Microsoft YaHei"/>
                <w:sz w:val="17"/>
              </w:rPr>
              <w:t>momentum_5d</w:t>
            </w:r>
          </w:p>
        </w:tc>
        <w:tc>
          <w:tcPr>
            <w:tcW w:type="dxa" w:w="1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40" w:after="40" w:line="252" w:lineRule="auto"/>
              <w:jc w:val="center"/>
            </w:pPr>
            <w:r>
              <w:rPr>
                <w:rFonts w:ascii="Calibri" w:hAnsi="Calibri" w:eastAsia="Microsoft YaHei"/>
                <w:sz w:val="17"/>
              </w:rPr>
              <w:t>-0.0281</w:t>
            </w:r>
          </w:p>
        </w:tc>
        <w:tc>
          <w:tcPr>
            <w:tcW w:type="dxa" w:w="1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40" w:after="40" w:line="252" w:lineRule="auto"/>
              <w:jc w:val="center"/>
            </w:pPr>
            <w:r>
              <w:rPr>
                <w:rFonts w:ascii="Calibri" w:hAnsi="Calibri" w:eastAsia="Microsoft YaHei"/>
                <w:sz w:val="17"/>
              </w:rPr>
              <w:t>-0.171</w:t>
            </w:r>
          </w:p>
        </w:tc>
        <w:tc>
          <w:tcPr>
            <w:tcW w:type="dxa" w:w="1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40" w:after="40" w:line="252" w:lineRule="auto"/>
              <w:jc w:val="center"/>
            </w:pPr>
            <w:r>
              <w:rPr>
                <w:rFonts w:ascii="Calibri" w:hAnsi="Calibri" w:eastAsia="Microsoft YaHei"/>
                <w:sz w:val="17"/>
              </w:rPr>
              <w:t>-0.0557</w:t>
            </w:r>
          </w:p>
        </w:tc>
        <w:tc>
          <w:tcPr>
            <w:tcW w:type="dxa" w:w="15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40" w:after="40" w:line="252" w:lineRule="auto"/>
              <w:jc w:val="center"/>
            </w:pPr>
            <w:r>
              <w:rPr>
                <w:rFonts w:ascii="Calibri" w:hAnsi="Calibri" w:eastAsia="Microsoft YaHei"/>
                <w:sz w:val="17"/>
              </w:rPr>
              <w:t>296</w:t>
            </w:r>
          </w:p>
        </w:tc>
      </w:tr>
      <w:tr>
        <w:tc>
          <w:tcPr>
            <w:tcW w:type="dxa" w:w="34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 w:eastAsia="Microsoft YaHei"/>
                <w:sz w:val="17"/>
              </w:rPr>
              <w:t>momentum_10d</w:t>
            </w:r>
          </w:p>
        </w:tc>
        <w:tc>
          <w:tcPr>
            <w:tcW w:type="dxa" w:w="1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40" w:after="40" w:line="252" w:lineRule="auto"/>
              <w:jc w:val="center"/>
            </w:pPr>
            <w:r>
              <w:rPr>
                <w:rFonts w:ascii="Calibri" w:hAnsi="Calibri" w:eastAsia="Microsoft YaHei"/>
                <w:sz w:val="17"/>
              </w:rPr>
              <w:t>-0.0329</w:t>
            </w:r>
          </w:p>
        </w:tc>
        <w:tc>
          <w:tcPr>
            <w:tcW w:type="dxa" w:w="1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40" w:after="40" w:line="252" w:lineRule="auto"/>
              <w:jc w:val="center"/>
            </w:pPr>
            <w:r>
              <w:rPr>
                <w:rFonts w:ascii="Calibri" w:hAnsi="Calibri" w:eastAsia="Microsoft YaHei"/>
                <w:sz w:val="17"/>
              </w:rPr>
              <w:t>-0.202</w:t>
            </w:r>
          </w:p>
        </w:tc>
        <w:tc>
          <w:tcPr>
            <w:tcW w:type="dxa" w:w="1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40" w:after="40" w:line="252" w:lineRule="auto"/>
              <w:jc w:val="center"/>
            </w:pPr>
            <w:r>
              <w:rPr>
                <w:rFonts w:ascii="Calibri" w:hAnsi="Calibri" w:eastAsia="Microsoft YaHei"/>
                <w:sz w:val="17"/>
              </w:rPr>
              <w:t>-0.0522</w:t>
            </w:r>
          </w:p>
        </w:tc>
        <w:tc>
          <w:tcPr>
            <w:tcW w:type="dxa" w:w="15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40" w:after="40" w:line="252" w:lineRule="auto"/>
              <w:jc w:val="center"/>
            </w:pPr>
            <w:r>
              <w:rPr>
                <w:rFonts w:ascii="Calibri" w:hAnsi="Calibri" w:eastAsia="Microsoft YaHei"/>
                <w:sz w:val="17"/>
              </w:rPr>
              <w:t>291</w:t>
            </w:r>
          </w:p>
        </w:tc>
      </w:tr>
      <w:tr>
        <w:tc>
          <w:tcPr>
            <w:tcW w:type="dxa" w:w="34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 w:eastAsia="Microsoft YaHei"/>
                <w:sz w:val="17"/>
              </w:rPr>
              <w:t>momentum_20d</w:t>
            </w:r>
          </w:p>
        </w:tc>
        <w:tc>
          <w:tcPr>
            <w:tcW w:type="dxa" w:w="1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40" w:after="40" w:line="252" w:lineRule="auto"/>
              <w:jc w:val="center"/>
            </w:pPr>
            <w:r>
              <w:rPr>
                <w:rFonts w:ascii="Calibri" w:hAnsi="Calibri" w:eastAsia="Microsoft YaHei"/>
                <w:sz w:val="17"/>
              </w:rPr>
              <w:t>-0.0364</w:t>
            </w:r>
          </w:p>
        </w:tc>
        <w:tc>
          <w:tcPr>
            <w:tcW w:type="dxa" w:w="1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40" w:after="40" w:line="252" w:lineRule="auto"/>
              <w:jc w:val="center"/>
            </w:pPr>
            <w:r>
              <w:rPr>
                <w:rFonts w:ascii="Calibri" w:hAnsi="Calibri" w:eastAsia="Microsoft YaHei"/>
                <w:sz w:val="17"/>
              </w:rPr>
              <w:t>-0.250</w:t>
            </w:r>
          </w:p>
        </w:tc>
        <w:tc>
          <w:tcPr>
            <w:tcW w:type="dxa" w:w="1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40" w:after="40" w:line="252" w:lineRule="auto"/>
              <w:jc w:val="center"/>
            </w:pPr>
            <w:r>
              <w:rPr>
                <w:rFonts w:ascii="Calibri" w:hAnsi="Calibri" w:eastAsia="Microsoft YaHei"/>
                <w:sz w:val="17"/>
              </w:rPr>
              <w:t>-0.0667</w:t>
            </w:r>
          </w:p>
        </w:tc>
        <w:tc>
          <w:tcPr>
            <w:tcW w:type="dxa" w:w="15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40" w:after="40" w:line="252" w:lineRule="auto"/>
              <w:jc w:val="center"/>
            </w:pPr>
            <w:r>
              <w:rPr>
                <w:rFonts w:ascii="Calibri" w:hAnsi="Calibri" w:eastAsia="Microsoft YaHei"/>
                <w:sz w:val="17"/>
              </w:rPr>
              <w:t>281</w:t>
            </w:r>
          </w:p>
        </w:tc>
      </w:tr>
      <w:tr>
        <w:tc>
          <w:tcPr>
            <w:tcW w:type="dxa" w:w="34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 w:eastAsia="Microsoft YaHei"/>
                <w:sz w:val="17"/>
              </w:rPr>
              <w:t>volatility_20d</w:t>
            </w:r>
          </w:p>
        </w:tc>
        <w:tc>
          <w:tcPr>
            <w:tcW w:type="dxa" w:w="1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40" w:after="40" w:line="252" w:lineRule="auto"/>
              <w:jc w:val="center"/>
            </w:pPr>
            <w:r>
              <w:rPr>
                <w:rFonts w:ascii="Calibri" w:hAnsi="Calibri" w:eastAsia="Microsoft YaHei"/>
                <w:sz w:val="17"/>
              </w:rPr>
              <w:t>-0.0356</w:t>
            </w:r>
          </w:p>
        </w:tc>
        <w:tc>
          <w:tcPr>
            <w:tcW w:type="dxa" w:w="1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40" w:after="40" w:line="252" w:lineRule="auto"/>
              <w:jc w:val="center"/>
            </w:pPr>
            <w:r>
              <w:rPr>
                <w:rFonts w:ascii="Calibri" w:hAnsi="Calibri" w:eastAsia="Microsoft YaHei"/>
                <w:sz w:val="17"/>
              </w:rPr>
              <w:t>-0.252</w:t>
            </w:r>
          </w:p>
        </w:tc>
        <w:tc>
          <w:tcPr>
            <w:tcW w:type="dxa" w:w="1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40" w:after="40" w:line="252" w:lineRule="auto"/>
              <w:jc w:val="center"/>
            </w:pPr>
            <w:r>
              <w:rPr>
                <w:rFonts w:ascii="Calibri" w:hAnsi="Calibri" w:eastAsia="Microsoft YaHei"/>
                <w:sz w:val="17"/>
              </w:rPr>
              <w:t>-0.0675</w:t>
            </w:r>
          </w:p>
        </w:tc>
        <w:tc>
          <w:tcPr>
            <w:tcW w:type="dxa" w:w="15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40" w:after="40" w:line="252" w:lineRule="auto"/>
              <w:jc w:val="center"/>
            </w:pPr>
            <w:r>
              <w:rPr>
                <w:rFonts w:ascii="Calibri" w:hAnsi="Calibri" w:eastAsia="Microsoft YaHei"/>
                <w:sz w:val="17"/>
              </w:rPr>
              <w:t>291</w:t>
            </w:r>
          </w:p>
        </w:tc>
      </w:tr>
      <w:tr>
        <w:tc>
          <w:tcPr>
            <w:tcW w:type="dxa" w:w="34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 w:eastAsia="Microsoft YaHei"/>
                <w:sz w:val="17"/>
              </w:rPr>
              <w:t>volume_price_corr_20d</w:t>
            </w:r>
          </w:p>
        </w:tc>
        <w:tc>
          <w:tcPr>
            <w:tcW w:type="dxa" w:w="1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40" w:after="40" w:line="252" w:lineRule="auto"/>
              <w:jc w:val="center"/>
            </w:pPr>
            <w:r>
              <w:rPr>
                <w:rFonts w:ascii="Calibri" w:hAnsi="Calibri" w:eastAsia="Microsoft YaHei"/>
                <w:sz w:val="17"/>
              </w:rPr>
              <w:t>-0.0243</w:t>
            </w:r>
          </w:p>
        </w:tc>
        <w:tc>
          <w:tcPr>
            <w:tcW w:type="dxa" w:w="1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40" w:after="40" w:line="252" w:lineRule="auto"/>
              <w:jc w:val="center"/>
            </w:pPr>
            <w:r>
              <w:rPr>
                <w:rFonts w:ascii="Calibri" w:hAnsi="Calibri" w:eastAsia="Microsoft YaHei"/>
                <w:sz w:val="17"/>
              </w:rPr>
              <w:t>-0.269</w:t>
            </w:r>
          </w:p>
        </w:tc>
        <w:tc>
          <w:tcPr>
            <w:tcW w:type="dxa" w:w="1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40" w:after="40" w:line="252" w:lineRule="auto"/>
              <w:jc w:val="center"/>
            </w:pPr>
            <w:r>
              <w:rPr>
                <w:rFonts w:ascii="Calibri" w:hAnsi="Calibri" w:eastAsia="Microsoft YaHei"/>
                <w:sz w:val="17"/>
              </w:rPr>
              <w:t>-0.0578</w:t>
            </w:r>
          </w:p>
        </w:tc>
        <w:tc>
          <w:tcPr>
            <w:tcW w:type="dxa" w:w="15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40" w:after="40" w:line="252" w:lineRule="auto"/>
              <w:jc w:val="center"/>
            </w:pPr>
            <w:r>
              <w:rPr>
                <w:rFonts w:ascii="Calibri" w:hAnsi="Calibri" w:eastAsia="Microsoft YaHei"/>
                <w:sz w:val="17"/>
              </w:rPr>
              <w:t>291</w:t>
            </w:r>
          </w:p>
        </w:tc>
      </w:tr>
      <w:tr>
        <w:tc>
          <w:tcPr>
            <w:tcW w:type="dxa" w:w="34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 w:eastAsia="Microsoft YaHei"/>
                <w:sz w:val="17"/>
              </w:rPr>
              <w:t>volatility_10d</w:t>
            </w:r>
          </w:p>
        </w:tc>
        <w:tc>
          <w:tcPr>
            <w:tcW w:type="dxa" w:w="1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40" w:after="40" w:line="252" w:lineRule="auto"/>
              <w:jc w:val="center"/>
            </w:pPr>
            <w:r>
              <w:rPr>
                <w:rFonts w:ascii="Calibri" w:hAnsi="Calibri" w:eastAsia="Microsoft YaHei"/>
                <w:sz w:val="17"/>
              </w:rPr>
              <w:t>-0.0475</w:t>
            </w:r>
          </w:p>
        </w:tc>
        <w:tc>
          <w:tcPr>
            <w:tcW w:type="dxa" w:w="1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40" w:after="40" w:line="252" w:lineRule="auto"/>
              <w:jc w:val="center"/>
            </w:pPr>
            <w:r>
              <w:rPr>
                <w:rFonts w:ascii="Calibri" w:hAnsi="Calibri" w:eastAsia="Microsoft YaHei"/>
                <w:sz w:val="17"/>
              </w:rPr>
              <w:t>-0.333</w:t>
            </w:r>
          </w:p>
        </w:tc>
        <w:tc>
          <w:tcPr>
            <w:tcW w:type="dxa" w:w="1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40" w:after="40" w:line="252" w:lineRule="auto"/>
              <w:jc w:val="center"/>
            </w:pPr>
            <w:r>
              <w:rPr>
                <w:rFonts w:ascii="Calibri" w:hAnsi="Calibri" w:eastAsia="Microsoft YaHei"/>
                <w:sz w:val="17"/>
              </w:rPr>
              <w:t>-0.0761</w:t>
            </w:r>
          </w:p>
        </w:tc>
        <w:tc>
          <w:tcPr>
            <w:tcW w:type="dxa" w:w="15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40" w:after="40" w:line="252" w:lineRule="auto"/>
              <w:jc w:val="center"/>
            </w:pPr>
            <w:r>
              <w:rPr>
                <w:rFonts w:ascii="Calibri" w:hAnsi="Calibri" w:eastAsia="Microsoft YaHei"/>
                <w:sz w:val="17"/>
              </w:rPr>
              <w:t>296</w:t>
            </w:r>
          </w:p>
        </w:tc>
      </w:tr>
      <w:tr>
        <w:tc>
          <w:tcPr>
            <w:tcW w:type="dxa" w:w="34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 w:eastAsia="Microsoft YaHei"/>
                <w:sz w:val="17"/>
              </w:rPr>
              <w:t>volatility_5d</w:t>
            </w:r>
          </w:p>
        </w:tc>
        <w:tc>
          <w:tcPr>
            <w:tcW w:type="dxa" w:w="1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40" w:after="40" w:line="252" w:lineRule="auto"/>
              <w:jc w:val="center"/>
            </w:pPr>
            <w:r>
              <w:rPr>
                <w:rFonts w:ascii="Calibri" w:hAnsi="Calibri" w:eastAsia="Microsoft YaHei"/>
                <w:sz w:val="17"/>
              </w:rPr>
              <w:t>-0.0548</w:t>
            </w:r>
          </w:p>
        </w:tc>
        <w:tc>
          <w:tcPr>
            <w:tcW w:type="dxa" w:w="1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40" w:after="40" w:line="252" w:lineRule="auto"/>
              <w:jc w:val="center"/>
            </w:pPr>
            <w:r>
              <w:rPr>
                <w:rFonts w:ascii="Calibri" w:hAnsi="Calibri" w:eastAsia="Microsoft YaHei"/>
                <w:sz w:val="17"/>
              </w:rPr>
              <w:t>-0.386</w:t>
            </w:r>
          </w:p>
        </w:tc>
        <w:tc>
          <w:tcPr>
            <w:tcW w:type="dxa" w:w="1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40" w:after="40" w:line="252" w:lineRule="auto"/>
              <w:jc w:val="center"/>
            </w:pPr>
            <w:r>
              <w:rPr>
                <w:rFonts w:ascii="Calibri" w:hAnsi="Calibri" w:eastAsia="Microsoft YaHei"/>
                <w:sz w:val="17"/>
              </w:rPr>
              <w:t>-0.0727</w:t>
            </w:r>
          </w:p>
        </w:tc>
        <w:tc>
          <w:tcPr>
            <w:tcW w:type="dxa" w:w="15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40" w:after="40" w:line="252" w:lineRule="auto"/>
              <w:jc w:val="center"/>
            </w:pPr>
            <w:r>
              <w:rPr>
                <w:rFonts w:ascii="Calibri" w:hAnsi="Calibri" w:eastAsia="Microsoft YaHei"/>
                <w:sz w:val="17"/>
              </w:rPr>
              <w:t>299</w:t>
            </w:r>
          </w:p>
        </w:tc>
      </w:tr>
      <w:tr>
        <w:tc>
          <w:tcPr>
            <w:tcW w:type="dxa" w:w="34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 w:eastAsia="Microsoft YaHei"/>
                <w:sz w:val="17"/>
              </w:rPr>
              <w:t>buy_sell_imbalance</w:t>
            </w:r>
          </w:p>
        </w:tc>
        <w:tc>
          <w:tcPr>
            <w:tcW w:type="dxa" w:w="1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40" w:after="40" w:line="252" w:lineRule="auto"/>
              <w:jc w:val="center"/>
            </w:pPr>
            <w:r>
              <w:rPr>
                <w:rFonts w:ascii="Calibri" w:hAnsi="Calibri" w:eastAsia="Microsoft YaHei"/>
                <w:sz w:val="17"/>
              </w:rPr>
              <w:t>-0.0480</w:t>
            </w:r>
          </w:p>
        </w:tc>
        <w:tc>
          <w:tcPr>
            <w:tcW w:type="dxa" w:w="1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40" w:after="40" w:line="252" w:lineRule="auto"/>
              <w:jc w:val="center"/>
            </w:pPr>
            <w:r>
              <w:rPr>
                <w:rFonts w:ascii="Calibri" w:hAnsi="Calibri" w:eastAsia="Microsoft YaHei"/>
                <w:sz w:val="17"/>
              </w:rPr>
              <w:t>-0.437</w:t>
            </w:r>
          </w:p>
        </w:tc>
        <w:tc>
          <w:tcPr>
            <w:tcW w:type="dxa" w:w="1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40" w:after="40" w:line="252" w:lineRule="auto"/>
              <w:jc w:val="center"/>
            </w:pPr>
            <w:r>
              <w:rPr>
                <w:rFonts w:ascii="Calibri" w:hAnsi="Calibri" w:eastAsia="Microsoft YaHei"/>
                <w:sz w:val="17"/>
              </w:rPr>
              <w:t>-0.0198</w:t>
            </w:r>
          </w:p>
        </w:tc>
        <w:tc>
          <w:tcPr>
            <w:tcW w:type="dxa" w:w="15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40" w:after="40" w:line="252" w:lineRule="auto"/>
              <w:jc w:val="center"/>
            </w:pPr>
            <w:r>
              <w:rPr>
                <w:rFonts w:ascii="Calibri" w:hAnsi="Calibri" w:eastAsia="Microsoft YaHei"/>
                <w:sz w:val="17"/>
              </w:rPr>
              <w:t>301</w:t>
            </w:r>
          </w:p>
        </w:tc>
      </w:tr>
      <w:tr>
        <w:tc>
          <w:tcPr>
            <w:tcW w:type="dxa" w:w="34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 w:eastAsia="Microsoft YaHei"/>
                <w:sz w:val="17"/>
              </w:rPr>
              <w:t>intraday_range</w:t>
            </w:r>
          </w:p>
        </w:tc>
        <w:tc>
          <w:tcPr>
            <w:tcW w:type="dxa" w:w="1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40" w:after="40" w:line="252" w:lineRule="auto"/>
              <w:jc w:val="center"/>
            </w:pPr>
            <w:r>
              <w:rPr>
                <w:rFonts w:ascii="Calibri" w:hAnsi="Calibri" w:eastAsia="Microsoft YaHei"/>
                <w:sz w:val="17"/>
              </w:rPr>
              <w:t>-0.0747</w:t>
            </w:r>
          </w:p>
        </w:tc>
        <w:tc>
          <w:tcPr>
            <w:tcW w:type="dxa" w:w="1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40" w:after="40" w:line="252" w:lineRule="auto"/>
              <w:jc w:val="center"/>
            </w:pPr>
            <w:r>
              <w:rPr>
                <w:rFonts w:ascii="Calibri" w:hAnsi="Calibri" w:eastAsia="Microsoft YaHei"/>
                <w:sz w:val="17"/>
              </w:rPr>
              <w:t>-0.489</w:t>
            </w:r>
          </w:p>
        </w:tc>
        <w:tc>
          <w:tcPr>
            <w:tcW w:type="dxa" w:w="1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40" w:after="40" w:line="252" w:lineRule="auto"/>
              <w:jc w:val="center"/>
            </w:pPr>
            <w:r>
              <w:rPr>
                <w:rFonts w:ascii="Calibri" w:hAnsi="Calibri" w:eastAsia="Microsoft YaHei"/>
                <w:sz w:val="17"/>
              </w:rPr>
              <w:t>-0.0844</w:t>
            </w:r>
          </w:p>
        </w:tc>
        <w:tc>
          <w:tcPr>
            <w:tcW w:type="dxa" w:w="15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40" w:after="40" w:line="252" w:lineRule="auto"/>
              <w:jc w:val="center"/>
            </w:pPr>
            <w:r>
              <w:rPr>
                <w:rFonts w:ascii="Calibri" w:hAnsi="Calibri" w:eastAsia="Microsoft YaHei"/>
                <w:sz w:val="17"/>
              </w:rPr>
              <w:t>301</w:t>
            </w:r>
          </w:p>
        </w:tc>
      </w:tr>
      <w:tr>
        <w:tc>
          <w:tcPr>
            <w:tcW w:type="dxa" w:w="34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 w:eastAsia="Microsoft YaHei"/>
                <w:sz w:val="17"/>
              </w:rPr>
              <w:t>example_factor</w:t>
            </w:r>
          </w:p>
        </w:tc>
        <w:tc>
          <w:tcPr>
            <w:tcW w:type="dxa" w:w="1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40" w:after="40" w:line="252" w:lineRule="auto"/>
              <w:jc w:val="center"/>
            </w:pPr>
            <w:r>
              <w:rPr>
                <w:rFonts w:ascii="Calibri" w:hAnsi="Calibri" w:eastAsia="Microsoft YaHei"/>
                <w:sz w:val="17"/>
              </w:rPr>
              <w:t>-0.0771</w:t>
            </w:r>
          </w:p>
        </w:tc>
        <w:tc>
          <w:tcPr>
            <w:tcW w:type="dxa" w:w="1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40" w:after="40" w:line="252" w:lineRule="auto"/>
              <w:jc w:val="center"/>
            </w:pPr>
            <w:r>
              <w:rPr>
                <w:rFonts w:ascii="Calibri" w:hAnsi="Calibri" w:eastAsia="Microsoft YaHei"/>
                <w:sz w:val="17"/>
              </w:rPr>
              <w:t>-0.543</w:t>
            </w:r>
          </w:p>
        </w:tc>
        <w:tc>
          <w:tcPr>
            <w:tcW w:type="dxa" w:w="1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40" w:after="40" w:line="252" w:lineRule="auto"/>
              <w:jc w:val="center"/>
            </w:pPr>
            <w:r>
              <w:rPr>
                <w:rFonts w:ascii="Calibri" w:hAnsi="Calibri" w:eastAsia="Microsoft YaHei"/>
                <w:sz w:val="17"/>
              </w:rPr>
              <w:t>-0.1056</w:t>
            </w:r>
          </w:p>
        </w:tc>
        <w:tc>
          <w:tcPr>
            <w:tcW w:type="dxa" w:w="15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40" w:after="40" w:line="252" w:lineRule="auto"/>
              <w:jc w:val="center"/>
            </w:pPr>
            <w:r>
              <w:rPr>
                <w:rFonts w:ascii="Calibri" w:hAnsi="Calibri" w:eastAsia="Microsoft YaHei"/>
                <w:sz w:val="17"/>
              </w:rPr>
              <w:t>300</w:t>
            </w:r>
          </w:p>
        </w:tc>
      </w:tr>
    </w:tbl>
    <w:p>
      <w:pPr>
        <w:spacing w:after="40"/>
      </w:pPr>
    </w:p>
    <w:p>
      <w:pPr>
        <w:keepNext/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5623560" cy="3374136"/>
            <wp:docPr id="1" name="Picture 1" descr="十个因子在按时间划分的训练、验证和测试区间中的平均 IC 对比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actor_stability_ic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337413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Lines/>
        <w:spacing w:before="0" w:after="160" w:line="264" w:lineRule="auto"/>
        <w:jc w:val="center"/>
      </w:pPr>
      <w:r>
        <w:rPr>
          <w:rFonts w:ascii="Calibri" w:hAnsi="Calibri" w:eastAsia="Microsoft YaHei"/>
          <w:b w:val="0"/>
          <w:i w:val="0"/>
          <w:color w:val="666666"/>
          <w:sz w:val="18"/>
        </w:rPr>
        <w:t>图 1  因子 IC 的训练/验证/测试时间稳定性</w:t>
      </w:r>
    </w:p>
    <w:p>
      <w:pPr>
        <w:spacing w:before="80" w:after="200"/>
        <w:ind w:left="173" w:right="115"/>
        <w:shd w:fill="E8EEF5"/>
        <w:pBdr>
          <w:left w:val="single" w:sz="18" w:space="8" w:color="9B1C1C"/>
        </w:pBdr>
      </w:pPr>
      <w:r>
        <w:rPr>
          <w:rFonts w:ascii="Calibri" w:hAnsi="Calibri" w:eastAsia="Microsoft YaHei"/>
          <w:b/>
          <w:color w:val="9B1C1C"/>
          <w:sz w:val="22"/>
        </w:rPr>
        <w:t>稳定性风险：</w:t>
      </w:r>
      <w:r>
        <w:rPr>
          <w:rFonts w:ascii="Calibri" w:hAnsi="Calibri" w:eastAsia="Microsoft YaHei"/>
          <w:color w:val="0B2545"/>
          <w:sz w:val="22"/>
        </w:rPr>
        <w:t>训练期和验证期大多为负；测试期除买卖失衡外，多数因子转为正。这解释了为什么用早期历史训练的反向权重在最后阶段失效。</w:t>
      </w:r>
    </w:p>
    <w:p>
      <w:pPr>
        <w:pStyle w:val="Heading1"/>
        <w:keepNext/>
      </w:pPr>
      <w:r>
        <w:rPr>
          <w:rFonts w:ascii="Calibri" w:hAnsi="Calibri" w:eastAsia="Microsoft YaHei"/>
          <w:b/>
          <w:color w:val="2E74B5"/>
          <w:sz w:val="32"/>
        </w:rPr>
        <w:t>四、Task 4：严格 IC 加权回测</w:t>
      </w:r>
    </w:p>
    <w:p>
      <w:pPr>
        <w:pStyle w:val="Heading2"/>
        <w:keepNext/>
      </w:pPr>
      <w:r>
        <w:rPr>
          <w:rFonts w:ascii="Calibri" w:hAnsi="Calibri" w:eastAsia="Microsoft YaHei"/>
          <w:b/>
          <w:color w:val="2E74B5"/>
          <w:sz w:val="26"/>
        </w:rPr>
        <w:t>4.1 时点修正</w:t>
      </w:r>
    </w:p>
    <w:p>
      <w:pPr>
        <w:spacing w:before="0" w:after="120" w:line="264" w:lineRule="auto"/>
      </w:pPr>
      <w:r>
        <w:rPr>
          <w:rFonts w:ascii="Calibri" w:hAnsi="Calibri" w:eastAsia="Microsoft YaHei"/>
          <w:b w:val="0"/>
          <w:i w:val="0"/>
          <w:sz w:val="22"/>
        </w:rPr>
        <w:t>信号在交易日 t 收盘后形成，于 t+1 的开盘或收盘执行。用于评价因子 t 的收益是执行价 t+1 到 t+2 的收益；因此该 IC 最早在 t+2 才完整可知。严格策略将原始 IC 至少延迟两个交易日，再做 rolling、expanding、hybrid 或 adaptive 加权。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500"/>
        <w:gridCol w:w="3400"/>
        <w:gridCol w:w="4460"/>
      </w:tblGrid>
      <w:tr>
        <w:trPr>
          <w:tblHeader w:val="true"/>
        </w:trPr>
        <w:tc>
          <w:tcPr>
            <w:tcW w:type="dxa" w:w="1500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8"/>
              </w:rPr>
              <w:t>步骤</w:t>
            </w:r>
          </w:p>
        </w:tc>
        <w:tc>
          <w:tcPr>
            <w:tcW w:type="dxa" w:w="3400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8"/>
              </w:rPr>
              <w:t>已知信息</w:t>
            </w:r>
          </w:p>
        </w:tc>
        <w:tc>
          <w:tcPr>
            <w:tcW w:type="dxa" w:w="4460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8"/>
              </w:rPr>
              <w:t>处理</w:t>
            </w:r>
          </w:p>
        </w:tc>
      </w:tr>
      <w:tr>
        <w:tc>
          <w:tcPr>
            <w:tcW w:type="dxa" w:w="1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 w:eastAsia="Microsoft YaHei"/>
                <w:sz w:val="18"/>
              </w:rPr>
              <w:t>t 日收盘</w:t>
            </w:r>
          </w:p>
        </w:tc>
        <w:tc>
          <w:tcPr>
            <w:tcW w:type="dxa" w:w="34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40" w:after="40" w:line="252" w:lineRule="auto"/>
              <w:jc w:val="center"/>
            </w:pPr>
            <w:r>
              <w:rPr>
                <w:rFonts w:ascii="Calibri" w:hAnsi="Calibri" w:eastAsia="Microsoft YaHei"/>
                <w:sz w:val="18"/>
              </w:rPr>
              <w:t>当日因子</w:t>
            </w:r>
          </w:p>
        </w:tc>
        <w:tc>
          <w:tcPr>
            <w:tcW w:type="dxa" w:w="44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40" w:after="40" w:line="252" w:lineRule="auto"/>
              <w:jc w:val="center"/>
            </w:pPr>
            <w:r>
              <w:rPr>
                <w:rFonts w:ascii="Calibri" w:hAnsi="Calibri" w:eastAsia="Microsoft YaHei"/>
                <w:sz w:val="18"/>
              </w:rPr>
              <w:t>生成信号，不使用尚未发生的收益</w:t>
            </w:r>
          </w:p>
        </w:tc>
      </w:tr>
      <w:tr>
        <w:tc>
          <w:tcPr>
            <w:tcW w:type="dxa" w:w="1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 w:eastAsia="Microsoft YaHei"/>
                <w:sz w:val="18"/>
              </w:rPr>
              <w:t>t+1</w:t>
            </w:r>
          </w:p>
        </w:tc>
        <w:tc>
          <w:tcPr>
            <w:tcW w:type="dxa" w:w="34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40" w:after="40" w:line="252" w:lineRule="auto"/>
              <w:jc w:val="center"/>
            </w:pPr>
            <w:r>
              <w:rPr>
                <w:rFonts w:ascii="Calibri" w:hAnsi="Calibri" w:eastAsia="Microsoft YaHei"/>
                <w:sz w:val="18"/>
              </w:rPr>
              <w:t>执行价格、可交易状态</w:t>
            </w:r>
          </w:p>
        </w:tc>
        <w:tc>
          <w:tcPr>
            <w:tcW w:type="dxa" w:w="44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40" w:after="40" w:line="252" w:lineRule="auto"/>
              <w:jc w:val="center"/>
            </w:pPr>
            <w:r>
              <w:rPr>
                <w:rFonts w:ascii="Calibri" w:hAnsi="Calibri" w:eastAsia="Microsoft YaHei"/>
                <w:sz w:val="18"/>
              </w:rPr>
              <w:t>按开盘或收盘建仓；停牌股票不能交易</w:t>
            </w:r>
          </w:p>
        </w:tc>
      </w:tr>
      <w:tr>
        <w:tc>
          <w:tcPr>
            <w:tcW w:type="dxa" w:w="1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 w:eastAsia="Microsoft YaHei"/>
                <w:sz w:val="18"/>
              </w:rPr>
              <w:t>t+2</w:t>
            </w:r>
          </w:p>
        </w:tc>
        <w:tc>
          <w:tcPr>
            <w:tcW w:type="dxa" w:w="34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40" w:after="40" w:line="252" w:lineRule="auto"/>
              <w:jc w:val="center"/>
            </w:pPr>
            <w:r>
              <w:rPr>
                <w:rFonts w:ascii="Calibri" w:hAnsi="Calibri" w:eastAsia="Microsoft YaHei"/>
                <w:sz w:val="18"/>
              </w:rPr>
              <w:t>完整持有期收益</w:t>
            </w:r>
          </w:p>
        </w:tc>
        <w:tc>
          <w:tcPr>
            <w:tcW w:type="dxa" w:w="44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40" w:after="40" w:line="252" w:lineRule="auto"/>
              <w:jc w:val="center"/>
            </w:pPr>
            <w:r>
              <w:rPr>
                <w:rFonts w:ascii="Calibri" w:hAnsi="Calibri" w:eastAsia="Microsoft YaHei"/>
                <w:sz w:val="18"/>
              </w:rPr>
              <w:t>因子 t 的 IC 此时才可进入后续权重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rPr>
          <w:rFonts w:ascii="Calibri" w:hAnsi="Calibri" w:eastAsia="Microsoft YaHei"/>
          <w:b/>
          <w:color w:val="2E74B5"/>
          <w:sz w:val="26"/>
        </w:rPr>
        <w:t>4.2 组合与成本</w:t>
      </w:r>
    </w:p>
    <w:p>
      <w:pPr>
        <w:spacing w:before="0" w:after="120" w:line="264" w:lineRule="auto"/>
      </w:pPr>
      <w:r>
        <w:rPr>
          <w:rFonts w:ascii="Calibri" w:hAnsi="Calibri" w:eastAsia="Microsoft YaHei"/>
          <w:b w:val="0"/>
          <w:i w:val="0"/>
          <w:sz w:val="22"/>
        </w:rPr>
        <w:t>初始资金 1,000 万元，每日选择信号最高的 10 只股票。持仓和现金逐日记账；停牌持仓锁定，不允许按前向填充价格卖出；卖出手续费万分之五，买入手续费不计。流动性过滤只使用决策时点已知的成交量和过去 20 日平均成交额。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700"/>
        <w:gridCol w:w="1700"/>
        <w:gridCol w:w="1300"/>
        <w:gridCol w:w="1700"/>
        <w:gridCol w:w="1960"/>
      </w:tblGrid>
      <w:tr>
        <w:trPr>
          <w:tblHeader w:val="true"/>
        </w:trPr>
        <w:tc>
          <w:tcPr>
            <w:tcW w:type="dxa" w:w="2700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7"/>
              </w:rPr>
              <w:t>策略</w:t>
            </w:r>
          </w:p>
        </w:tc>
        <w:tc>
          <w:tcPr>
            <w:tcW w:type="dxa" w:w="1700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7"/>
              </w:rPr>
              <w:t>年化复合</w:t>
            </w:r>
          </w:p>
        </w:tc>
        <w:tc>
          <w:tcPr>
            <w:tcW w:type="dxa" w:w="1300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7"/>
              </w:rPr>
              <w:t>夏普</w:t>
            </w:r>
          </w:p>
        </w:tc>
        <w:tc>
          <w:tcPr>
            <w:tcW w:type="dxa" w:w="1700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7"/>
              </w:rPr>
              <w:t>最大回撤</w:t>
            </w:r>
          </w:p>
        </w:tc>
        <w:tc>
          <w:tcPr>
            <w:tcW w:type="dxa" w:w="1960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7"/>
              </w:rPr>
              <w:t>平均卖出换手</w:t>
            </w:r>
          </w:p>
        </w:tc>
      </w:tr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 w:eastAsia="Microsoft YaHei"/>
                <w:sz w:val="17"/>
              </w:rPr>
              <w:t>rolling_close</w:t>
            </w:r>
          </w:p>
        </w:tc>
        <w:tc>
          <w:tcPr>
            <w:tcW w:type="dxa" w:w="1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40" w:after="40" w:line="252" w:lineRule="auto"/>
              <w:jc w:val="center"/>
            </w:pPr>
            <w:r>
              <w:rPr>
                <w:rFonts w:ascii="Calibri" w:hAnsi="Calibri" w:eastAsia="Microsoft YaHei"/>
                <w:sz w:val="17"/>
              </w:rPr>
              <w:t>5.71%</w:t>
            </w:r>
          </w:p>
        </w:tc>
        <w:tc>
          <w:tcPr>
            <w:tcW w:type="dxa" w:w="1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40" w:after="40" w:line="252" w:lineRule="auto"/>
              <w:jc w:val="center"/>
            </w:pPr>
            <w:r>
              <w:rPr>
                <w:rFonts w:ascii="Calibri" w:hAnsi="Calibri" w:eastAsia="Microsoft YaHei"/>
                <w:sz w:val="17"/>
              </w:rPr>
              <w:t>0.417</w:t>
            </w:r>
          </w:p>
        </w:tc>
        <w:tc>
          <w:tcPr>
            <w:tcW w:type="dxa" w:w="1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40" w:after="40" w:line="252" w:lineRule="auto"/>
              <w:jc w:val="center"/>
            </w:pPr>
            <w:r>
              <w:rPr>
                <w:rFonts w:ascii="Calibri" w:hAnsi="Calibri" w:eastAsia="Microsoft YaHei"/>
                <w:sz w:val="17"/>
              </w:rPr>
              <w:t>-23.79%</w:t>
            </w:r>
          </w:p>
        </w:tc>
        <w:tc>
          <w:tcPr>
            <w:tcW w:type="dxa" w:w="19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40" w:after="40" w:line="252" w:lineRule="auto"/>
              <w:jc w:val="center"/>
            </w:pPr>
            <w:r>
              <w:rPr>
                <w:rFonts w:ascii="Calibri" w:hAnsi="Calibri" w:eastAsia="Microsoft YaHei"/>
                <w:sz w:val="17"/>
              </w:rPr>
              <w:t>42.17%</w:t>
            </w:r>
          </w:p>
        </w:tc>
      </w:tr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 w:eastAsia="Microsoft YaHei"/>
                <w:sz w:val="17"/>
              </w:rPr>
              <w:t>expanding_close</w:t>
            </w:r>
          </w:p>
        </w:tc>
        <w:tc>
          <w:tcPr>
            <w:tcW w:type="dxa" w:w="1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40" w:after="40" w:line="252" w:lineRule="auto"/>
              <w:jc w:val="center"/>
            </w:pPr>
            <w:r>
              <w:rPr>
                <w:rFonts w:ascii="Calibri" w:hAnsi="Calibri" w:eastAsia="Microsoft YaHei"/>
                <w:sz w:val="17"/>
              </w:rPr>
              <w:t>12.79%</w:t>
            </w:r>
          </w:p>
        </w:tc>
        <w:tc>
          <w:tcPr>
            <w:tcW w:type="dxa" w:w="1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40" w:after="40" w:line="252" w:lineRule="auto"/>
              <w:jc w:val="center"/>
            </w:pPr>
            <w:r>
              <w:rPr>
                <w:rFonts w:ascii="Calibri" w:hAnsi="Calibri" w:eastAsia="Microsoft YaHei"/>
                <w:sz w:val="17"/>
              </w:rPr>
              <w:t>0.813</w:t>
            </w:r>
          </w:p>
        </w:tc>
        <w:tc>
          <w:tcPr>
            <w:tcW w:type="dxa" w:w="1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40" w:after="40" w:line="252" w:lineRule="auto"/>
              <w:jc w:val="center"/>
            </w:pPr>
            <w:r>
              <w:rPr>
                <w:rFonts w:ascii="Calibri" w:hAnsi="Calibri" w:eastAsia="Microsoft YaHei"/>
                <w:sz w:val="17"/>
              </w:rPr>
              <w:t>-18.93%</w:t>
            </w:r>
          </w:p>
        </w:tc>
        <w:tc>
          <w:tcPr>
            <w:tcW w:type="dxa" w:w="19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40" w:after="40" w:line="252" w:lineRule="auto"/>
              <w:jc w:val="center"/>
            </w:pPr>
            <w:r>
              <w:rPr>
                <w:rFonts w:ascii="Calibri" w:hAnsi="Calibri" w:eastAsia="Microsoft YaHei"/>
                <w:sz w:val="17"/>
              </w:rPr>
              <w:t>40.02%</w:t>
            </w:r>
          </w:p>
        </w:tc>
      </w:tr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 w:eastAsia="Microsoft YaHei"/>
                <w:sz w:val="17"/>
              </w:rPr>
              <w:t>hybrid_close</w:t>
            </w:r>
          </w:p>
        </w:tc>
        <w:tc>
          <w:tcPr>
            <w:tcW w:type="dxa" w:w="1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40" w:after="40" w:line="252" w:lineRule="auto"/>
              <w:jc w:val="center"/>
            </w:pPr>
            <w:r>
              <w:rPr>
                <w:rFonts w:ascii="Calibri" w:hAnsi="Calibri" w:eastAsia="Microsoft YaHei"/>
                <w:sz w:val="17"/>
              </w:rPr>
              <w:t>13.03%</w:t>
            </w:r>
          </w:p>
        </w:tc>
        <w:tc>
          <w:tcPr>
            <w:tcW w:type="dxa" w:w="1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40" w:after="40" w:line="252" w:lineRule="auto"/>
              <w:jc w:val="center"/>
            </w:pPr>
            <w:r>
              <w:rPr>
                <w:rFonts w:ascii="Calibri" w:hAnsi="Calibri" w:eastAsia="Microsoft YaHei"/>
                <w:sz w:val="17"/>
              </w:rPr>
              <w:t>0.824</w:t>
            </w:r>
          </w:p>
        </w:tc>
        <w:tc>
          <w:tcPr>
            <w:tcW w:type="dxa" w:w="1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40" w:after="40" w:line="252" w:lineRule="auto"/>
              <w:jc w:val="center"/>
            </w:pPr>
            <w:r>
              <w:rPr>
                <w:rFonts w:ascii="Calibri" w:hAnsi="Calibri" w:eastAsia="Microsoft YaHei"/>
                <w:sz w:val="17"/>
              </w:rPr>
              <w:t>-18.55%</w:t>
            </w:r>
          </w:p>
        </w:tc>
        <w:tc>
          <w:tcPr>
            <w:tcW w:type="dxa" w:w="19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40" w:after="40" w:line="252" w:lineRule="auto"/>
              <w:jc w:val="center"/>
            </w:pPr>
            <w:r>
              <w:rPr>
                <w:rFonts w:ascii="Calibri" w:hAnsi="Calibri" w:eastAsia="Microsoft YaHei"/>
                <w:sz w:val="17"/>
              </w:rPr>
              <w:t>40.31%</w:t>
            </w:r>
          </w:p>
        </w:tc>
      </w:tr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 w:eastAsia="Microsoft YaHei"/>
                <w:sz w:val="17"/>
              </w:rPr>
              <w:t>adaptive_close</w:t>
            </w:r>
          </w:p>
        </w:tc>
        <w:tc>
          <w:tcPr>
            <w:tcW w:type="dxa" w:w="1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40" w:after="40" w:line="252" w:lineRule="auto"/>
              <w:jc w:val="center"/>
            </w:pPr>
            <w:r>
              <w:rPr>
                <w:rFonts w:ascii="Calibri" w:hAnsi="Calibri" w:eastAsia="Microsoft YaHei"/>
                <w:sz w:val="17"/>
              </w:rPr>
              <w:t>12.72%</w:t>
            </w:r>
          </w:p>
        </w:tc>
        <w:tc>
          <w:tcPr>
            <w:tcW w:type="dxa" w:w="1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40" w:after="40" w:line="252" w:lineRule="auto"/>
              <w:jc w:val="center"/>
            </w:pPr>
            <w:r>
              <w:rPr>
                <w:rFonts w:ascii="Calibri" w:hAnsi="Calibri" w:eastAsia="Microsoft YaHei"/>
                <w:sz w:val="17"/>
              </w:rPr>
              <w:t>0.848</w:t>
            </w:r>
          </w:p>
        </w:tc>
        <w:tc>
          <w:tcPr>
            <w:tcW w:type="dxa" w:w="1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40" w:after="40" w:line="252" w:lineRule="auto"/>
              <w:jc w:val="center"/>
            </w:pPr>
            <w:r>
              <w:rPr>
                <w:rFonts w:ascii="Calibri" w:hAnsi="Calibri" w:eastAsia="Microsoft YaHei"/>
                <w:sz w:val="17"/>
              </w:rPr>
              <w:t>-16.35%</w:t>
            </w:r>
          </w:p>
        </w:tc>
        <w:tc>
          <w:tcPr>
            <w:tcW w:type="dxa" w:w="19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40" w:after="40" w:line="252" w:lineRule="auto"/>
              <w:jc w:val="center"/>
            </w:pPr>
            <w:r>
              <w:rPr>
                <w:rFonts w:ascii="Calibri" w:hAnsi="Calibri" w:eastAsia="Microsoft YaHei"/>
                <w:sz w:val="17"/>
              </w:rPr>
              <w:t>37.67%</w:t>
            </w:r>
          </w:p>
        </w:tc>
      </w:tr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 w:eastAsia="Microsoft YaHei"/>
                <w:sz w:val="17"/>
              </w:rPr>
              <w:t>rolling_open</w:t>
            </w:r>
          </w:p>
        </w:tc>
        <w:tc>
          <w:tcPr>
            <w:tcW w:type="dxa" w:w="1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40" w:after="40" w:line="252" w:lineRule="auto"/>
              <w:jc w:val="center"/>
            </w:pPr>
            <w:r>
              <w:rPr>
                <w:rFonts w:ascii="Calibri" w:hAnsi="Calibri" w:eastAsia="Microsoft YaHei"/>
                <w:sz w:val="17"/>
              </w:rPr>
              <w:t>2.93%</w:t>
            </w:r>
          </w:p>
        </w:tc>
        <w:tc>
          <w:tcPr>
            <w:tcW w:type="dxa" w:w="1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40" w:after="40" w:line="252" w:lineRule="auto"/>
              <w:jc w:val="center"/>
            </w:pPr>
            <w:r>
              <w:rPr>
                <w:rFonts w:ascii="Calibri" w:hAnsi="Calibri" w:eastAsia="Microsoft YaHei"/>
                <w:sz w:val="17"/>
              </w:rPr>
              <w:t>0.260</w:t>
            </w:r>
          </w:p>
        </w:tc>
        <w:tc>
          <w:tcPr>
            <w:tcW w:type="dxa" w:w="1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40" w:after="40" w:line="252" w:lineRule="auto"/>
              <w:jc w:val="center"/>
            </w:pPr>
            <w:r>
              <w:rPr>
                <w:rFonts w:ascii="Calibri" w:hAnsi="Calibri" w:eastAsia="Microsoft YaHei"/>
                <w:sz w:val="17"/>
              </w:rPr>
              <w:t>-26.41%</w:t>
            </w:r>
          </w:p>
        </w:tc>
        <w:tc>
          <w:tcPr>
            <w:tcW w:type="dxa" w:w="19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40" w:after="40" w:line="252" w:lineRule="auto"/>
              <w:jc w:val="center"/>
            </w:pPr>
            <w:r>
              <w:rPr>
                <w:rFonts w:ascii="Calibri" w:hAnsi="Calibri" w:eastAsia="Microsoft YaHei"/>
                <w:sz w:val="17"/>
              </w:rPr>
              <w:t>43.00%</w:t>
            </w:r>
          </w:p>
        </w:tc>
      </w:tr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 w:eastAsia="Microsoft YaHei"/>
                <w:sz w:val="17"/>
              </w:rPr>
              <w:t>expanding_open</w:t>
            </w:r>
          </w:p>
        </w:tc>
        <w:tc>
          <w:tcPr>
            <w:tcW w:type="dxa" w:w="1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40" w:after="40" w:line="252" w:lineRule="auto"/>
              <w:jc w:val="center"/>
            </w:pPr>
            <w:r>
              <w:rPr>
                <w:rFonts w:ascii="Calibri" w:hAnsi="Calibri" w:eastAsia="Microsoft YaHei"/>
                <w:sz w:val="17"/>
              </w:rPr>
              <w:t>10.88%</w:t>
            </w:r>
          </w:p>
        </w:tc>
        <w:tc>
          <w:tcPr>
            <w:tcW w:type="dxa" w:w="1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40" w:after="40" w:line="252" w:lineRule="auto"/>
              <w:jc w:val="center"/>
            </w:pPr>
            <w:r>
              <w:rPr>
                <w:rFonts w:ascii="Calibri" w:hAnsi="Calibri" w:eastAsia="Microsoft YaHei"/>
                <w:sz w:val="17"/>
              </w:rPr>
              <w:t>0.726</w:t>
            </w:r>
          </w:p>
        </w:tc>
        <w:tc>
          <w:tcPr>
            <w:tcW w:type="dxa" w:w="1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40" w:after="40" w:line="252" w:lineRule="auto"/>
              <w:jc w:val="center"/>
            </w:pPr>
            <w:r>
              <w:rPr>
                <w:rFonts w:ascii="Calibri" w:hAnsi="Calibri" w:eastAsia="Microsoft YaHei"/>
                <w:sz w:val="17"/>
              </w:rPr>
              <w:t>-21.32%</w:t>
            </w:r>
          </w:p>
        </w:tc>
        <w:tc>
          <w:tcPr>
            <w:tcW w:type="dxa" w:w="19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40" w:after="40" w:line="252" w:lineRule="auto"/>
              <w:jc w:val="center"/>
            </w:pPr>
            <w:r>
              <w:rPr>
                <w:rFonts w:ascii="Calibri" w:hAnsi="Calibri" w:eastAsia="Microsoft YaHei"/>
                <w:sz w:val="17"/>
              </w:rPr>
              <w:t>42.87%</w:t>
            </w:r>
          </w:p>
        </w:tc>
      </w:tr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 w:eastAsia="Microsoft YaHei"/>
                <w:sz w:val="17"/>
              </w:rPr>
              <w:t>hybrid_open</w:t>
            </w:r>
          </w:p>
        </w:tc>
        <w:tc>
          <w:tcPr>
            <w:tcW w:type="dxa" w:w="1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40" w:after="40" w:line="252" w:lineRule="auto"/>
              <w:jc w:val="center"/>
            </w:pPr>
            <w:r>
              <w:rPr>
                <w:rFonts w:ascii="Calibri" w:hAnsi="Calibri" w:eastAsia="Microsoft YaHei"/>
                <w:sz w:val="17"/>
              </w:rPr>
              <w:t>10.21%</w:t>
            </w:r>
          </w:p>
        </w:tc>
        <w:tc>
          <w:tcPr>
            <w:tcW w:type="dxa" w:w="1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40" w:after="40" w:line="252" w:lineRule="auto"/>
              <w:jc w:val="center"/>
            </w:pPr>
            <w:r>
              <w:rPr>
                <w:rFonts w:ascii="Calibri" w:hAnsi="Calibri" w:eastAsia="Microsoft YaHei"/>
                <w:sz w:val="17"/>
              </w:rPr>
              <w:t>0.676</w:t>
            </w:r>
          </w:p>
        </w:tc>
        <w:tc>
          <w:tcPr>
            <w:tcW w:type="dxa" w:w="1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40" w:after="40" w:line="252" w:lineRule="auto"/>
              <w:jc w:val="center"/>
            </w:pPr>
            <w:r>
              <w:rPr>
                <w:rFonts w:ascii="Calibri" w:hAnsi="Calibri" w:eastAsia="Microsoft YaHei"/>
                <w:sz w:val="17"/>
              </w:rPr>
              <w:t>-22.01%</w:t>
            </w:r>
          </w:p>
        </w:tc>
        <w:tc>
          <w:tcPr>
            <w:tcW w:type="dxa" w:w="19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40" w:after="40" w:line="252" w:lineRule="auto"/>
              <w:jc w:val="center"/>
            </w:pPr>
            <w:r>
              <w:rPr>
                <w:rFonts w:ascii="Calibri" w:hAnsi="Calibri" w:eastAsia="Microsoft YaHei"/>
                <w:sz w:val="17"/>
              </w:rPr>
              <w:t>42.74%</w:t>
            </w:r>
          </w:p>
        </w:tc>
      </w:tr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 w:eastAsia="Microsoft YaHei"/>
                <w:sz w:val="17"/>
              </w:rPr>
              <w:t>adaptive_open</w:t>
            </w:r>
          </w:p>
        </w:tc>
        <w:tc>
          <w:tcPr>
            <w:tcW w:type="dxa" w:w="1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40" w:after="40" w:line="252" w:lineRule="auto"/>
              <w:jc w:val="center"/>
            </w:pPr>
            <w:r>
              <w:rPr>
                <w:rFonts w:ascii="Calibri" w:hAnsi="Calibri" w:eastAsia="Microsoft YaHei"/>
                <w:sz w:val="17"/>
              </w:rPr>
              <w:t>9.31%</w:t>
            </w:r>
          </w:p>
        </w:tc>
        <w:tc>
          <w:tcPr>
            <w:tcW w:type="dxa" w:w="1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40" w:after="40" w:line="252" w:lineRule="auto"/>
              <w:jc w:val="center"/>
            </w:pPr>
            <w:r>
              <w:rPr>
                <w:rFonts w:ascii="Calibri" w:hAnsi="Calibri" w:eastAsia="Microsoft YaHei"/>
                <w:sz w:val="17"/>
              </w:rPr>
              <w:t>0.657</w:t>
            </w:r>
          </w:p>
        </w:tc>
        <w:tc>
          <w:tcPr>
            <w:tcW w:type="dxa" w:w="1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40" w:after="40" w:line="252" w:lineRule="auto"/>
              <w:jc w:val="center"/>
            </w:pPr>
            <w:r>
              <w:rPr>
                <w:rFonts w:ascii="Calibri" w:hAnsi="Calibri" w:eastAsia="Microsoft YaHei"/>
                <w:sz w:val="17"/>
              </w:rPr>
              <w:t>-20.05%</w:t>
            </w:r>
          </w:p>
        </w:tc>
        <w:tc>
          <w:tcPr>
            <w:tcW w:type="dxa" w:w="19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40" w:after="40" w:line="252" w:lineRule="auto"/>
              <w:jc w:val="center"/>
            </w:pPr>
            <w:r>
              <w:rPr>
                <w:rFonts w:ascii="Calibri" w:hAnsi="Calibri" w:eastAsia="Microsoft YaHei"/>
                <w:sz w:val="17"/>
              </w:rPr>
              <w:t>39.79%</w:t>
            </w:r>
          </w:p>
        </w:tc>
      </w:tr>
    </w:tbl>
    <w:p>
      <w:pPr>
        <w:spacing w:after="40"/>
      </w:pPr>
    </w:p>
    <w:p>
      <w:pPr>
        <w:keepNext/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5623560" cy="2556164"/>
            <wp:docPr id="2" name="Picture 2" descr="仅包含可交易历史 IC 版本的八条净值曲线，不含 Naive 泄露对照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av_curv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255616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Lines/>
        <w:spacing w:before="0" w:after="160" w:line="264" w:lineRule="auto"/>
        <w:jc w:val="center"/>
      </w:pPr>
      <w:r>
        <w:rPr>
          <w:rFonts w:ascii="Calibri" w:hAnsi="Calibri" w:eastAsia="Microsoft YaHei"/>
          <w:b w:val="0"/>
          <w:i w:val="0"/>
          <w:color w:val="666666"/>
          <w:sz w:val="18"/>
        </w:rPr>
        <w:t>图 2  无前视偏差的 8 组 Task4 策略净值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200"/>
        <w:gridCol w:w="1700"/>
        <w:gridCol w:w="1300"/>
        <w:gridCol w:w="2200"/>
        <w:gridCol w:w="1960"/>
      </w:tblGrid>
      <w:tr>
        <w:trPr>
          <w:tblHeader w:val="true"/>
        </w:trPr>
        <w:tc>
          <w:tcPr>
            <w:tcW w:type="dxa" w:w="2200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8"/>
              </w:rPr>
              <w:t>泄露对照</w:t>
            </w:r>
          </w:p>
        </w:tc>
        <w:tc>
          <w:tcPr>
            <w:tcW w:type="dxa" w:w="1700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8"/>
              </w:rPr>
              <w:t>年化复合</w:t>
            </w:r>
          </w:p>
        </w:tc>
        <w:tc>
          <w:tcPr>
            <w:tcW w:type="dxa" w:w="1300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8"/>
              </w:rPr>
              <w:t>夏普</w:t>
            </w:r>
          </w:p>
        </w:tc>
        <w:tc>
          <w:tcPr>
            <w:tcW w:type="dxa" w:w="2200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8"/>
              </w:rPr>
              <w:t>期末净值</w:t>
            </w:r>
          </w:p>
        </w:tc>
        <w:tc>
          <w:tcPr>
            <w:tcW w:type="dxa" w:w="1960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8"/>
              </w:rPr>
              <w:t>最大回撤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 w:eastAsia="Microsoft YaHei"/>
                <w:sz w:val="18"/>
              </w:rPr>
              <w:t>naive_close</w:t>
            </w:r>
          </w:p>
        </w:tc>
        <w:tc>
          <w:tcPr>
            <w:tcW w:type="dxa" w:w="1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40" w:after="40" w:line="252" w:lineRule="auto"/>
              <w:jc w:val="center"/>
            </w:pPr>
            <w:r>
              <w:rPr>
                <w:rFonts w:ascii="Calibri" w:hAnsi="Calibri" w:eastAsia="Microsoft YaHei"/>
                <w:sz w:val="18"/>
              </w:rPr>
              <w:t>1235.79%</w:t>
            </w:r>
          </w:p>
        </w:tc>
        <w:tc>
          <w:tcPr>
            <w:tcW w:type="dxa" w:w="1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40" w:after="40" w:line="252" w:lineRule="auto"/>
              <w:jc w:val="center"/>
            </w:pPr>
            <w:r>
              <w:rPr>
                <w:rFonts w:ascii="Calibri" w:hAnsi="Calibri" w:eastAsia="Microsoft YaHei"/>
                <w:sz w:val="18"/>
              </w:rPr>
              <w:t>11.14</w:t>
            </w:r>
          </w:p>
        </w:tc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40" w:after="40" w:line="252" w:lineRule="auto"/>
              <w:jc w:val="center"/>
            </w:pPr>
            <w:r>
              <w:rPr>
                <w:rFonts w:ascii="Calibri" w:hAnsi="Calibri" w:eastAsia="Microsoft YaHei"/>
                <w:sz w:val="18"/>
              </w:rPr>
              <w:t>221121149.23</w:t>
            </w:r>
          </w:p>
        </w:tc>
        <w:tc>
          <w:tcPr>
            <w:tcW w:type="dxa" w:w="19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40" w:after="40" w:line="252" w:lineRule="auto"/>
              <w:jc w:val="center"/>
            </w:pPr>
            <w:r>
              <w:rPr>
                <w:rFonts w:ascii="Calibri" w:hAnsi="Calibri" w:eastAsia="Microsoft YaHei"/>
                <w:sz w:val="18"/>
              </w:rPr>
              <w:t>-8.41%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 w:eastAsia="Microsoft YaHei"/>
                <w:sz w:val="18"/>
              </w:rPr>
              <w:t>naive_open</w:t>
            </w:r>
          </w:p>
        </w:tc>
        <w:tc>
          <w:tcPr>
            <w:tcW w:type="dxa" w:w="1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40" w:after="40" w:line="252" w:lineRule="auto"/>
              <w:jc w:val="center"/>
            </w:pPr>
            <w:r>
              <w:rPr>
                <w:rFonts w:ascii="Calibri" w:hAnsi="Calibri" w:eastAsia="Microsoft YaHei"/>
                <w:sz w:val="18"/>
              </w:rPr>
              <w:t>1371.25%</w:t>
            </w:r>
          </w:p>
        </w:tc>
        <w:tc>
          <w:tcPr>
            <w:tcW w:type="dxa" w:w="1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40" w:after="40" w:line="252" w:lineRule="auto"/>
              <w:jc w:val="center"/>
            </w:pPr>
            <w:r>
              <w:rPr>
                <w:rFonts w:ascii="Calibri" w:hAnsi="Calibri" w:eastAsia="Microsoft YaHei"/>
                <w:sz w:val="18"/>
              </w:rPr>
              <w:t>11.01</w:t>
            </w:r>
          </w:p>
        </w:tc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40" w:after="40" w:line="252" w:lineRule="auto"/>
              <w:jc w:val="center"/>
            </w:pPr>
            <w:r>
              <w:rPr>
                <w:rFonts w:ascii="Calibri" w:hAnsi="Calibri" w:eastAsia="Microsoft YaHei"/>
                <w:sz w:val="18"/>
              </w:rPr>
              <w:t>248163303.40</w:t>
            </w:r>
          </w:p>
        </w:tc>
        <w:tc>
          <w:tcPr>
            <w:tcW w:type="dxa" w:w="19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40" w:after="40" w:line="252" w:lineRule="auto"/>
              <w:jc w:val="center"/>
            </w:pPr>
            <w:r>
              <w:rPr>
                <w:rFonts w:ascii="Calibri" w:hAnsi="Calibri" w:eastAsia="Microsoft YaHei"/>
                <w:sz w:val="18"/>
              </w:rPr>
              <w:t>-5.31%</w:t>
            </w:r>
          </w:p>
        </w:tc>
      </w:tr>
    </w:tbl>
    <w:p>
      <w:pPr>
        <w:spacing w:after="40"/>
      </w:pPr>
    </w:p>
    <w:p>
      <w:pPr>
        <w:keepNext/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5623560" cy="2556164"/>
            <wp:docPr id="3" name="Picture 3" descr="严格自适应策略与使用未来收益的 Naive 策略净值差异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okahead_bias_comparison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255616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Lines/>
        <w:spacing w:before="0" w:after="160" w:line="264" w:lineRule="auto"/>
        <w:jc w:val="center"/>
      </w:pPr>
      <w:r>
        <w:rPr>
          <w:rFonts w:ascii="Calibri" w:hAnsi="Calibri" w:eastAsia="Microsoft YaHei"/>
          <w:b w:val="0"/>
          <w:i w:val="0"/>
          <w:color w:val="666666"/>
          <w:sz w:val="18"/>
        </w:rPr>
        <w:t>图 3  Naive 与严格策略对照（纵轴为对数尺度）</w:t>
      </w:r>
    </w:p>
    <w:p>
      <w:pPr>
        <w:spacing w:before="80" w:after="200"/>
        <w:ind w:left="173" w:right="115"/>
        <w:shd w:fill="E8EEF5"/>
        <w:pBdr>
          <w:left w:val="single" w:sz="18" w:space="8" w:color="7A5A00"/>
        </w:pBdr>
      </w:pPr>
      <w:r>
        <w:rPr>
          <w:rFonts w:ascii="Calibri" w:hAnsi="Calibri" w:eastAsia="Microsoft YaHei"/>
          <w:b/>
          <w:color w:val="7A5A00"/>
          <w:sz w:val="22"/>
        </w:rPr>
        <w:t>为什么旧图像空白：</w:t>
      </w:r>
      <w:r>
        <w:rPr>
          <w:rFonts w:ascii="Calibri" w:hAnsi="Calibri" w:eastAsia="Microsoft YaHei"/>
          <w:color w:val="0B2545"/>
          <w:sz w:val="22"/>
        </w:rPr>
        <w:t>Naive 净值超过 20 倍，而严格策略约 1.1 倍；放在同一线性纵轴会把严格曲线压扁。新版把可信策略单独绘图，泄露对照使用对数坐标。</w:t>
      </w:r>
    </w:p>
    <w:p>
      <w:pPr>
        <w:pStyle w:val="Heading1"/>
        <w:keepNext/>
      </w:pPr>
      <w:r>
        <w:rPr>
          <w:rFonts w:ascii="Calibri" w:hAnsi="Calibri" w:eastAsia="Microsoft YaHei"/>
          <w:b/>
          <w:color w:val="2E74B5"/>
          <w:sz w:val="32"/>
        </w:rPr>
        <w:t>五、收益率训练与直接夏普训练</w:t>
      </w:r>
    </w:p>
    <w:p>
      <w:pPr>
        <w:spacing w:before="0" w:after="120" w:line="264" w:lineRule="auto"/>
      </w:pPr>
      <w:r>
        <w:rPr>
          <w:rFonts w:ascii="Calibri" w:hAnsi="Calibri" w:eastAsia="Microsoft YaHei"/>
          <w:b w:val="0"/>
          <w:i w:val="0"/>
          <w:sz w:val="22"/>
        </w:rPr>
        <w:t>两套模型都只使用 10 个日频因子。收益率模型最小化个股未来收益误差；直接夏普模型学习因子权重，最大化扣除 5 bp 换手成本后的组合夏普。收益目标统一为因子 t 后，在 t+1 开盘建仓、t+2 开盘退出。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600"/>
        <w:gridCol w:w="1600"/>
        <w:gridCol w:w="1500"/>
        <w:gridCol w:w="1900"/>
        <w:gridCol w:w="1760"/>
      </w:tblGrid>
      <w:tr>
        <w:trPr>
          <w:tblHeader w:val="true"/>
        </w:trPr>
        <w:tc>
          <w:tcPr>
            <w:tcW w:type="dxa" w:w="2600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7"/>
              </w:rPr>
              <w:t>模型</w:t>
            </w:r>
          </w:p>
        </w:tc>
        <w:tc>
          <w:tcPr>
            <w:tcW w:type="dxa" w:w="1600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7"/>
              </w:rPr>
              <w:t>区间</w:t>
            </w:r>
          </w:p>
        </w:tc>
        <w:tc>
          <w:tcPr>
            <w:tcW w:type="dxa" w:w="1500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7"/>
              </w:rPr>
              <w:t>净夏普</w:t>
            </w:r>
          </w:p>
        </w:tc>
        <w:tc>
          <w:tcPr>
            <w:tcW w:type="dxa" w:w="1900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7"/>
              </w:rPr>
              <w:t>年化净收益</w:t>
            </w:r>
          </w:p>
        </w:tc>
        <w:tc>
          <w:tcPr>
            <w:tcW w:type="dxa" w:w="1760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7"/>
              </w:rPr>
              <w:t>最大回撤</w:t>
            </w:r>
          </w:p>
        </w:tc>
      </w:tr>
      <w:tr>
        <w:tc>
          <w:tcPr>
            <w:tcW w:type="dxa" w:w="2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 w:eastAsia="Microsoft YaHei"/>
                <w:sz w:val="17"/>
              </w:rPr>
              <w:t>return_regression</w:t>
            </w:r>
          </w:p>
        </w:tc>
        <w:tc>
          <w:tcPr>
            <w:tcW w:type="dxa" w:w="1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40" w:after="40" w:line="252" w:lineRule="auto"/>
              <w:jc w:val="center"/>
            </w:pPr>
            <w:r>
              <w:rPr>
                <w:rFonts w:ascii="Calibri" w:hAnsi="Calibri" w:eastAsia="Microsoft YaHei"/>
                <w:sz w:val="17"/>
              </w:rPr>
              <w:t>train</w:t>
            </w:r>
          </w:p>
        </w:tc>
        <w:tc>
          <w:tcPr>
            <w:tcW w:type="dxa" w:w="1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40" w:after="40" w:line="252" w:lineRule="auto"/>
              <w:jc w:val="center"/>
            </w:pPr>
            <w:r>
              <w:rPr>
                <w:rFonts w:ascii="Calibri" w:hAnsi="Calibri" w:eastAsia="Microsoft YaHei"/>
                <w:sz w:val="17"/>
              </w:rPr>
              <w:t>10.04</w:t>
            </w:r>
          </w:p>
        </w:tc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40" w:after="40" w:line="252" w:lineRule="auto"/>
              <w:jc w:val="center"/>
            </w:pPr>
            <w:r>
              <w:rPr>
                <w:rFonts w:ascii="Calibri" w:hAnsi="Calibri" w:eastAsia="Microsoft YaHei"/>
                <w:sz w:val="17"/>
              </w:rPr>
              <w:t>97.32%</w:t>
            </w:r>
          </w:p>
        </w:tc>
        <w:tc>
          <w:tcPr>
            <w:tcW w:type="dxa" w:w="17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40" w:after="40" w:line="252" w:lineRule="auto"/>
              <w:jc w:val="center"/>
            </w:pPr>
            <w:r>
              <w:rPr>
                <w:rFonts w:ascii="Calibri" w:hAnsi="Calibri" w:eastAsia="Microsoft YaHei"/>
                <w:sz w:val="17"/>
              </w:rPr>
              <w:t>-2.31%</w:t>
            </w:r>
          </w:p>
        </w:tc>
      </w:tr>
      <w:tr>
        <w:tc>
          <w:tcPr>
            <w:tcW w:type="dxa" w:w="2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 w:eastAsia="Microsoft YaHei"/>
                <w:sz w:val="17"/>
              </w:rPr>
              <w:t>return_regression</w:t>
            </w:r>
          </w:p>
        </w:tc>
        <w:tc>
          <w:tcPr>
            <w:tcW w:type="dxa" w:w="1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40" w:after="40" w:line="252" w:lineRule="auto"/>
              <w:jc w:val="center"/>
            </w:pPr>
            <w:r>
              <w:rPr>
                <w:rFonts w:ascii="Calibri" w:hAnsi="Calibri" w:eastAsia="Microsoft YaHei"/>
                <w:sz w:val="17"/>
              </w:rPr>
              <w:t>validation</w:t>
            </w:r>
          </w:p>
        </w:tc>
        <w:tc>
          <w:tcPr>
            <w:tcW w:type="dxa" w:w="1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40" w:after="40" w:line="252" w:lineRule="auto"/>
              <w:jc w:val="center"/>
            </w:pPr>
            <w:r>
              <w:rPr>
                <w:rFonts w:ascii="Calibri" w:hAnsi="Calibri" w:eastAsia="Microsoft YaHei"/>
                <w:sz w:val="17"/>
              </w:rPr>
              <w:t>8.28</w:t>
            </w:r>
          </w:p>
        </w:tc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40" w:after="40" w:line="252" w:lineRule="auto"/>
              <w:jc w:val="center"/>
            </w:pPr>
            <w:r>
              <w:rPr>
                <w:rFonts w:ascii="Calibri" w:hAnsi="Calibri" w:eastAsia="Microsoft YaHei"/>
                <w:sz w:val="17"/>
              </w:rPr>
              <w:t>98.69%</w:t>
            </w:r>
          </w:p>
        </w:tc>
        <w:tc>
          <w:tcPr>
            <w:tcW w:type="dxa" w:w="17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40" w:after="40" w:line="252" w:lineRule="auto"/>
              <w:jc w:val="center"/>
            </w:pPr>
            <w:r>
              <w:rPr>
                <w:rFonts w:ascii="Calibri" w:hAnsi="Calibri" w:eastAsia="Microsoft YaHei"/>
                <w:sz w:val="17"/>
              </w:rPr>
              <w:t>-1.84%</w:t>
            </w:r>
          </w:p>
        </w:tc>
      </w:tr>
      <w:tr>
        <w:tc>
          <w:tcPr>
            <w:tcW w:type="dxa" w:w="2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 w:eastAsia="Microsoft YaHei"/>
                <w:sz w:val="17"/>
              </w:rPr>
              <w:t>return_regression</w:t>
            </w:r>
          </w:p>
        </w:tc>
        <w:tc>
          <w:tcPr>
            <w:tcW w:type="dxa" w:w="1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40" w:after="40" w:line="252" w:lineRule="auto"/>
              <w:jc w:val="center"/>
            </w:pPr>
            <w:r>
              <w:rPr>
                <w:rFonts w:ascii="Calibri" w:hAnsi="Calibri" w:eastAsia="Microsoft YaHei"/>
                <w:sz w:val="17"/>
              </w:rPr>
              <w:t>test</w:t>
            </w:r>
          </w:p>
        </w:tc>
        <w:tc>
          <w:tcPr>
            <w:tcW w:type="dxa" w:w="1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40" w:after="40" w:line="252" w:lineRule="auto"/>
              <w:jc w:val="center"/>
            </w:pPr>
            <w:r>
              <w:rPr>
                <w:rFonts w:ascii="Calibri" w:hAnsi="Calibri" w:eastAsia="Microsoft YaHei"/>
                <w:sz w:val="17"/>
              </w:rPr>
              <w:t>-3.12</w:t>
            </w:r>
          </w:p>
        </w:tc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40" w:after="40" w:line="252" w:lineRule="auto"/>
              <w:jc w:val="center"/>
            </w:pPr>
            <w:r>
              <w:rPr>
                <w:rFonts w:ascii="Calibri" w:hAnsi="Calibri" w:eastAsia="Microsoft YaHei"/>
                <w:sz w:val="17"/>
              </w:rPr>
              <w:t>-31.46%</w:t>
            </w:r>
          </w:p>
        </w:tc>
        <w:tc>
          <w:tcPr>
            <w:tcW w:type="dxa" w:w="17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40" w:after="40" w:line="252" w:lineRule="auto"/>
              <w:jc w:val="center"/>
            </w:pPr>
            <w:r>
              <w:rPr>
                <w:rFonts w:ascii="Calibri" w:hAnsi="Calibri" w:eastAsia="Microsoft YaHei"/>
                <w:sz w:val="17"/>
              </w:rPr>
              <w:t>-7.96%</w:t>
            </w:r>
          </w:p>
        </w:tc>
      </w:tr>
      <w:tr>
        <w:tc>
          <w:tcPr>
            <w:tcW w:type="dxa" w:w="2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 w:eastAsia="Microsoft YaHei"/>
                <w:sz w:val="17"/>
              </w:rPr>
              <w:t>direct_sharpe</w:t>
            </w:r>
          </w:p>
        </w:tc>
        <w:tc>
          <w:tcPr>
            <w:tcW w:type="dxa" w:w="1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40" w:after="40" w:line="252" w:lineRule="auto"/>
              <w:jc w:val="center"/>
            </w:pPr>
            <w:r>
              <w:rPr>
                <w:rFonts w:ascii="Calibri" w:hAnsi="Calibri" w:eastAsia="Microsoft YaHei"/>
                <w:sz w:val="17"/>
              </w:rPr>
              <w:t>train</w:t>
            </w:r>
          </w:p>
        </w:tc>
        <w:tc>
          <w:tcPr>
            <w:tcW w:type="dxa" w:w="1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40" w:after="40" w:line="252" w:lineRule="auto"/>
              <w:jc w:val="center"/>
            </w:pPr>
            <w:r>
              <w:rPr>
                <w:rFonts w:ascii="Calibri" w:hAnsi="Calibri" w:eastAsia="Microsoft YaHei"/>
                <w:sz w:val="17"/>
              </w:rPr>
              <w:t>11.91</w:t>
            </w:r>
          </w:p>
        </w:tc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40" w:after="40" w:line="252" w:lineRule="auto"/>
              <w:jc w:val="center"/>
            </w:pPr>
            <w:r>
              <w:rPr>
                <w:rFonts w:ascii="Calibri" w:hAnsi="Calibri" w:eastAsia="Microsoft YaHei"/>
                <w:sz w:val="17"/>
              </w:rPr>
              <w:t>65.40%</w:t>
            </w:r>
          </w:p>
        </w:tc>
        <w:tc>
          <w:tcPr>
            <w:tcW w:type="dxa" w:w="17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40" w:after="40" w:line="252" w:lineRule="auto"/>
              <w:jc w:val="center"/>
            </w:pPr>
            <w:r>
              <w:rPr>
                <w:rFonts w:ascii="Calibri" w:hAnsi="Calibri" w:eastAsia="Microsoft YaHei"/>
                <w:sz w:val="17"/>
              </w:rPr>
              <w:t>-0.70%</w:t>
            </w:r>
          </w:p>
        </w:tc>
      </w:tr>
      <w:tr>
        <w:tc>
          <w:tcPr>
            <w:tcW w:type="dxa" w:w="2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 w:eastAsia="Microsoft YaHei"/>
                <w:sz w:val="17"/>
              </w:rPr>
              <w:t>direct_sharpe</w:t>
            </w:r>
          </w:p>
        </w:tc>
        <w:tc>
          <w:tcPr>
            <w:tcW w:type="dxa" w:w="1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40" w:after="40" w:line="252" w:lineRule="auto"/>
              <w:jc w:val="center"/>
            </w:pPr>
            <w:r>
              <w:rPr>
                <w:rFonts w:ascii="Calibri" w:hAnsi="Calibri" w:eastAsia="Microsoft YaHei"/>
                <w:sz w:val="17"/>
              </w:rPr>
              <w:t>validation</w:t>
            </w:r>
          </w:p>
        </w:tc>
        <w:tc>
          <w:tcPr>
            <w:tcW w:type="dxa" w:w="1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40" w:after="40" w:line="252" w:lineRule="auto"/>
              <w:jc w:val="center"/>
            </w:pPr>
            <w:r>
              <w:rPr>
                <w:rFonts w:ascii="Calibri" w:hAnsi="Calibri" w:eastAsia="Microsoft YaHei"/>
                <w:sz w:val="17"/>
              </w:rPr>
              <w:t>6.99</w:t>
            </w:r>
          </w:p>
        </w:tc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40" w:after="40" w:line="252" w:lineRule="auto"/>
              <w:jc w:val="center"/>
            </w:pPr>
            <w:r>
              <w:rPr>
                <w:rFonts w:ascii="Calibri" w:hAnsi="Calibri" w:eastAsia="Microsoft YaHei"/>
                <w:sz w:val="17"/>
              </w:rPr>
              <w:t>49.01%</w:t>
            </w:r>
          </w:p>
        </w:tc>
        <w:tc>
          <w:tcPr>
            <w:tcW w:type="dxa" w:w="17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40" w:after="40" w:line="252" w:lineRule="auto"/>
              <w:jc w:val="center"/>
            </w:pPr>
            <w:r>
              <w:rPr>
                <w:rFonts w:ascii="Calibri" w:hAnsi="Calibri" w:eastAsia="Microsoft YaHei"/>
                <w:sz w:val="17"/>
              </w:rPr>
              <w:t>-1.22%</w:t>
            </w:r>
          </w:p>
        </w:tc>
      </w:tr>
      <w:tr>
        <w:tc>
          <w:tcPr>
            <w:tcW w:type="dxa" w:w="2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 w:eastAsia="Microsoft YaHei"/>
                <w:sz w:val="17"/>
              </w:rPr>
              <w:t>direct_sharpe</w:t>
            </w:r>
          </w:p>
        </w:tc>
        <w:tc>
          <w:tcPr>
            <w:tcW w:type="dxa" w:w="1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40" w:after="40" w:line="252" w:lineRule="auto"/>
              <w:jc w:val="center"/>
            </w:pPr>
            <w:r>
              <w:rPr>
                <w:rFonts w:ascii="Calibri" w:hAnsi="Calibri" w:eastAsia="Microsoft YaHei"/>
                <w:sz w:val="17"/>
              </w:rPr>
              <w:t>test</w:t>
            </w:r>
          </w:p>
        </w:tc>
        <w:tc>
          <w:tcPr>
            <w:tcW w:type="dxa" w:w="1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40" w:after="40" w:line="252" w:lineRule="auto"/>
              <w:jc w:val="center"/>
            </w:pPr>
            <w:r>
              <w:rPr>
                <w:rFonts w:ascii="Calibri" w:hAnsi="Calibri" w:eastAsia="Microsoft YaHei"/>
                <w:sz w:val="17"/>
              </w:rPr>
              <w:t>-3.47</w:t>
            </w:r>
          </w:p>
        </w:tc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40" w:after="40" w:line="252" w:lineRule="auto"/>
              <w:jc w:val="center"/>
            </w:pPr>
            <w:r>
              <w:rPr>
                <w:rFonts w:ascii="Calibri" w:hAnsi="Calibri" w:eastAsia="Microsoft YaHei"/>
                <w:sz w:val="17"/>
              </w:rPr>
              <w:t>-28.37%</w:t>
            </w:r>
          </w:p>
        </w:tc>
        <w:tc>
          <w:tcPr>
            <w:tcW w:type="dxa" w:w="17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40" w:after="40" w:line="252" w:lineRule="auto"/>
              <w:jc w:val="center"/>
            </w:pPr>
            <w:r>
              <w:rPr>
                <w:rFonts w:ascii="Calibri" w:hAnsi="Calibri" w:eastAsia="Microsoft YaHei"/>
                <w:sz w:val="17"/>
              </w:rPr>
              <w:t>-6.87%</w:t>
            </w:r>
          </w:p>
        </w:tc>
      </w:tr>
    </w:tbl>
    <w:p>
      <w:pPr>
        <w:spacing w:after="40"/>
      </w:pP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600"/>
        <w:gridCol w:w="1600"/>
        <w:gridCol w:w="1700"/>
        <w:gridCol w:w="1800"/>
        <w:gridCol w:w="1660"/>
      </w:tblGrid>
      <w:tr>
        <w:trPr>
          <w:tblHeader w:val="true"/>
        </w:trPr>
        <w:tc>
          <w:tcPr>
            <w:tcW w:type="dxa" w:w="2600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8"/>
              </w:rPr>
              <w:t>滚动模型</w:t>
            </w:r>
          </w:p>
        </w:tc>
        <w:tc>
          <w:tcPr>
            <w:tcW w:type="dxa" w:w="1600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8"/>
              </w:rPr>
              <w:t>全期夏普</w:t>
            </w:r>
          </w:p>
        </w:tc>
        <w:tc>
          <w:tcPr>
            <w:tcW w:type="dxa" w:w="1700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8"/>
              </w:rPr>
              <w:t>全期年化</w:t>
            </w:r>
          </w:p>
        </w:tc>
        <w:tc>
          <w:tcPr>
            <w:tcW w:type="dxa" w:w="1800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8"/>
              </w:rPr>
              <w:t>最近45日夏普</w:t>
            </w:r>
          </w:p>
        </w:tc>
        <w:tc>
          <w:tcPr>
            <w:tcW w:type="dxa" w:w="1660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8"/>
              </w:rPr>
              <w:t>最近45日年化</w:t>
            </w:r>
          </w:p>
        </w:tc>
      </w:tr>
      <w:tr>
        <w:tc>
          <w:tcPr>
            <w:tcW w:type="dxa" w:w="2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 w:eastAsia="Microsoft YaHei"/>
                <w:sz w:val="18"/>
              </w:rPr>
              <w:t>return_regression</w:t>
            </w:r>
          </w:p>
        </w:tc>
        <w:tc>
          <w:tcPr>
            <w:tcW w:type="dxa" w:w="1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40" w:after="40" w:line="252" w:lineRule="auto"/>
              <w:jc w:val="center"/>
            </w:pPr>
            <w:r>
              <w:rPr>
                <w:rFonts w:ascii="Calibri" w:hAnsi="Calibri" w:eastAsia="Microsoft YaHei"/>
                <w:sz w:val="18"/>
              </w:rPr>
              <w:t>4.85</w:t>
            </w:r>
          </w:p>
        </w:tc>
        <w:tc>
          <w:tcPr>
            <w:tcW w:type="dxa" w:w="1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40" w:after="40" w:line="252" w:lineRule="auto"/>
              <w:jc w:val="center"/>
            </w:pPr>
            <w:r>
              <w:rPr>
                <w:rFonts w:ascii="Calibri" w:hAnsi="Calibri" w:eastAsia="Microsoft YaHei"/>
                <w:sz w:val="18"/>
              </w:rPr>
              <w:t>54.74%</w:t>
            </w:r>
          </w:p>
        </w:tc>
        <w:tc>
          <w:tcPr>
            <w:tcW w:type="dxa" w:w="1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40" w:after="40" w:line="252" w:lineRule="auto"/>
              <w:jc w:val="center"/>
            </w:pPr>
            <w:r>
              <w:rPr>
                <w:rFonts w:ascii="Calibri" w:hAnsi="Calibri" w:eastAsia="Microsoft YaHei"/>
                <w:sz w:val="18"/>
              </w:rPr>
              <w:t>-3.25</w:t>
            </w:r>
          </w:p>
        </w:tc>
        <w:tc>
          <w:tcPr>
            <w:tcW w:type="dxa" w:w="1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40" w:after="40" w:line="252" w:lineRule="auto"/>
              <w:jc w:val="center"/>
            </w:pPr>
            <w:r>
              <w:rPr>
                <w:rFonts w:ascii="Calibri" w:hAnsi="Calibri" w:eastAsia="Microsoft YaHei"/>
                <w:sz w:val="18"/>
              </w:rPr>
              <w:t>-31.51%</w:t>
            </w:r>
          </w:p>
        </w:tc>
      </w:tr>
      <w:tr>
        <w:tc>
          <w:tcPr>
            <w:tcW w:type="dxa" w:w="2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 w:eastAsia="Microsoft YaHei"/>
                <w:sz w:val="18"/>
              </w:rPr>
              <w:t>direct_sharpe</w:t>
            </w:r>
          </w:p>
        </w:tc>
        <w:tc>
          <w:tcPr>
            <w:tcW w:type="dxa" w:w="1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40" w:after="40" w:line="252" w:lineRule="auto"/>
              <w:jc w:val="center"/>
            </w:pPr>
            <w:r>
              <w:rPr>
                <w:rFonts w:ascii="Calibri" w:hAnsi="Calibri" w:eastAsia="Microsoft YaHei"/>
                <w:sz w:val="18"/>
              </w:rPr>
              <w:t>4.58</w:t>
            </w:r>
          </w:p>
        </w:tc>
        <w:tc>
          <w:tcPr>
            <w:tcW w:type="dxa" w:w="1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40" w:after="40" w:line="252" w:lineRule="auto"/>
              <w:jc w:val="center"/>
            </w:pPr>
            <w:r>
              <w:rPr>
                <w:rFonts w:ascii="Calibri" w:hAnsi="Calibri" w:eastAsia="Microsoft YaHei"/>
                <w:sz w:val="18"/>
              </w:rPr>
              <w:t>30.82%</w:t>
            </w:r>
          </w:p>
        </w:tc>
        <w:tc>
          <w:tcPr>
            <w:tcW w:type="dxa" w:w="1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40" w:after="40" w:line="252" w:lineRule="auto"/>
              <w:jc w:val="center"/>
            </w:pPr>
            <w:r>
              <w:rPr>
                <w:rFonts w:ascii="Calibri" w:hAnsi="Calibri" w:eastAsia="Microsoft YaHei"/>
                <w:sz w:val="18"/>
              </w:rPr>
              <w:t>-3.76</w:t>
            </w:r>
          </w:p>
        </w:tc>
        <w:tc>
          <w:tcPr>
            <w:tcW w:type="dxa" w:w="1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40" w:after="40" w:line="252" w:lineRule="auto"/>
              <w:jc w:val="center"/>
            </w:pPr>
            <w:r>
              <w:rPr>
                <w:rFonts w:ascii="Calibri" w:hAnsi="Calibri" w:eastAsia="Microsoft YaHei"/>
                <w:sz w:val="18"/>
              </w:rPr>
              <w:t>-24.56%</w:t>
            </w:r>
          </w:p>
        </w:tc>
      </w:tr>
    </w:tbl>
    <w:p>
      <w:pPr>
        <w:spacing w:after="40"/>
      </w:pPr>
    </w:p>
    <w:p>
      <w:pPr>
        <w:keepNext/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5623560" cy="2249424"/>
            <wp:docPr id="4" name="Picture 4" descr="收益率回归和直接夏普优化在滚动样本外区间的净值曲线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ortfolio_nav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224942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Lines/>
        <w:spacing w:before="0" w:after="160" w:line="264" w:lineRule="auto"/>
        <w:jc w:val="center"/>
      </w:pPr>
      <w:r>
        <w:rPr>
          <w:rFonts w:ascii="Calibri" w:hAnsi="Calibri" w:eastAsia="Microsoft YaHei"/>
          <w:b w:val="0"/>
          <w:i w:val="0"/>
          <w:color w:val="666666"/>
          <w:sz w:val="18"/>
        </w:rPr>
        <w:t>图 4  120 日滚动训练的两套因子模型净值（已扣假设成本）</w:t>
      </w:r>
    </w:p>
    <w:p>
      <w:pPr>
        <w:spacing w:before="80" w:after="200"/>
        <w:ind w:left="173" w:right="115"/>
        <w:shd w:fill="E8EEF5"/>
        <w:pBdr>
          <w:left w:val="single" w:sz="18" w:space="8" w:color="9B1C1C"/>
        </w:pBdr>
      </w:pPr>
      <w:r>
        <w:rPr>
          <w:rFonts w:ascii="Calibri" w:hAnsi="Calibri" w:eastAsia="Microsoft YaHei"/>
          <w:b/>
          <w:color w:val="9B1C1C"/>
          <w:sz w:val="22"/>
        </w:rPr>
        <w:t>模型判断：</w:t>
      </w:r>
      <w:r>
        <w:rPr>
          <w:rFonts w:ascii="Calibri" w:hAnsi="Calibri" w:eastAsia="Microsoft YaHei"/>
          <w:color w:val="0B2545"/>
          <w:sz w:val="22"/>
        </w:rPr>
        <w:t>全滚动期看起来很好，但最近 45 日两者夏普分别为 -3.25 和 -3.76。必须把近期反转作为主风险，不能只汇报全期指标。</w:t>
      </w:r>
    </w:p>
    <w:p>
      <w:pPr>
        <w:pStyle w:val="Heading1"/>
        <w:keepNext/>
      </w:pPr>
      <w:r>
        <w:rPr>
          <w:rFonts w:ascii="Calibri" w:hAnsi="Calibri" w:eastAsia="Microsoft YaHei"/>
          <w:b/>
          <w:color w:val="2E74B5"/>
          <w:sz w:val="32"/>
        </w:rPr>
        <w:t>六、Task 5：下一分钟下跌/平盘/上涨 LSTM 分类</w:t>
      </w:r>
    </w:p>
    <w:p>
      <w:pPr>
        <w:pStyle w:val="Heading2"/>
        <w:keepNext/>
      </w:pPr>
      <w:r>
        <w:rPr>
          <w:rFonts w:ascii="Calibri" w:hAnsi="Calibri" w:eastAsia="Microsoft YaHei"/>
          <w:b/>
          <w:color w:val="2E74B5"/>
          <w:sz w:val="26"/>
        </w:rPr>
        <w:t>6.1 方法与严格时间切分</w:t>
      </w:r>
    </w:p>
    <w:p>
      <w:pPr>
        <w:spacing w:before="0" w:after="120" w:line="264" w:lineRule="auto"/>
      </w:pPr>
      <w:r>
        <w:rPr>
          <w:rFonts w:ascii="Calibri" w:hAnsi="Calibri" w:eastAsia="Microsoft YaHei"/>
          <w:b w:val="0"/>
          <w:i w:val="0"/>
          <w:sz w:val="22"/>
        </w:rPr>
        <w:t>主实验沿用队友版本中有效的设定：对 5 只股票使用截至当前时刻的 60 分钟序列，预测下一分钟收盘价相对当前分钟的方向。输入为 11 个平稳化特征，包括开高低相对收盘价、收盘对数收益，以及成交量、成交笔数、成交额和主买/主卖订单流的 log1p 变换。上午和下午分别构造序列，不跨越午休；收盘集合竞价等待段不用于建模。</w:t>
      </w:r>
    </w:p>
    <w:p>
      <w:pPr>
        <w:spacing w:before="0" w:after="120" w:line="264" w:lineRule="auto"/>
      </w:pPr>
      <w:r>
        <w:rPr>
          <w:rFonts w:ascii="Calibri" w:hAnsi="Calibri" w:eastAsia="Microsoft YaHei"/>
          <w:b w:val="0"/>
          <w:i w:val="0"/>
          <w:sz w:val="22"/>
        </w:rPr>
        <w:t>训练集截至 2026-05-31，验证集为 2026-06-01 至 06-15，测试集为 06-16 至 06-30。标准化均值和方差只由训练集拟合；平盘作为独立类别参与训练和测试。采用平方根逆频率权重，它比完全逆频率更能识别平盘，又比不加权版本保持更好的三类平衡表现。主评价覆盖全部有效分钟。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100"/>
        <w:gridCol w:w="3000"/>
        <w:gridCol w:w="1700"/>
        <w:gridCol w:w="1900"/>
        <w:gridCol w:w="1660"/>
      </w:tblGrid>
      <w:tr>
        <w:trPr>
          <w:tblHeader w:val="true"/>
        </w:trPr>
        <w:tc>
          <w:tcPr>
            <w:tcW w:type="dxa" w:w="1100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8"/>
              </w:rPr>
              <w:t>股票</w:t>
            </w:r>
          </w:p>
        </w:tc>
        <w:tc>
          <w:tcPr>
            <w:tcW w:type="dxa" w:w="3000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8"/>
              </w:rPr>
              <w:t>训练/验证/测试样本</w:t>
            </w:r>
          </w:p>
        </w:tc>
        <w:tc>
          <w:tcPr>
            <w:tcW w:type="dxa" w:w="1700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8"/>
              </w:rPr>
              <w:t>Accuracy</w:t>
            </w:r>
          </w:p>
        </w:tc>
        <w:tc>
          <w:tcPr>
            <w:tcW w:type="dxa" w:w="1900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8"/>
              </w:rPr>
              <w:t>Balanced Acc.</w:t>
            </w:r>
          </w:p>
        </w:tc>
        <w:tc>
          <w:tcPr>
            <w:tcW w:type="dxa" w:w="1660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8"/>
              </w:rPr>
              <w:t>Macro F1</w:t>
            </w:r>
          </w:p>
        </w:tc>
      </w:tr>
      <w:tr>
        <w:tc>
          <w:tcPr>
            <w:tcW w:type="dxa" w:w="1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 w:eastAsia="Microsoft YaHei"/>
                <w:sz w:val="18"/>
              </w:rPr>
              <w:t>5</w:t>
            </w:r>
          </w:p>
        </w:tc>
        <w:tc>
          <w:tcPr>
            <w:tcW w:type="dxa" w:w="30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40" w:after="40" w:line="252" w:lineRule="auto"/>
              <w:jc w:val="center"/>
            </w:pPr>
            <w:r>
              <w:rPr>
                <w:rFonts w:ascii="Calibri" w:hAnsi="Calibri" w:eastAsia="Microsoft YaHei"/>
                <w:sz w:val="18"/>
              </w:rPr>
              <w:t>165790 / 6490 / 5900</w:t>
            </w:r>
          </w:p>
        </w:tc>
        <w:tc>
          <w:tcPr>
            <w:tcW w:type="dxa" w:w="1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40" w:after="40" w:line="252" w:lineRule="auto"/>
              <w:jc w:val="center"/>
            </w:pPr>
            <w:r>
              <w:rPr>
                <w:rFonts w:ascii="Calibri" w:hAnsi="Calibri" w:eastAsia="Microsoft YaHei"/>
                <w:sz w:val="18"/>
              </w:rPr>
              <w:t>45.56%</w:t>
            </w:r>
          </w:p>
        </w:tc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40" w:after="40" w:line="252" w:lineRule="auto"/>
              <w:jc w:val="center"/>
            </w:pPr>
            <w:r>
              <w:rPr>
                <w:rFonts w:ascii="Calibri" w:hAnsi="Calibri" w:eastAsia="Microsoft YaHei"/>
                <w:sz w:val="18"/>
              </w:rPr>
              <w:t>46.91%</w:t>
            </w:r>
          </w:p>
        </w:tc>
        <w:tc>
          <w:tcPr>
            <w:tcW w:type="dxa" w:w="1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40" w:after="40" w:line="252" w:lineRule="auto"/>
              <w:jc w:val="center"/>
            </w:pPr>
            <w:r>
              <w:rPr>
                <w:rFonts w:ascii="Calibri" w:hAnsi="Calibri" w:eastAsia="Microsoft YaHei"/>
                <w:sz w:val="18"/>
              </w:rPr>
              <w:t>45.56%</w:t>
            </w:r>
          </w:p>
        </w:tc>
      </w:tr>
    </w:tbl>
    <w:p>
      <w:pPr>
        <w:spacing w:after="40"/>
      </w:pPr>
    </w:p>
    <w:p>
      <w:pPr>
        <w:keepNext/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5623560" cy="2044931"/>
            <wp:docPr id="5" name="Picture 5" descr="下一分钟三分类模型十二轮训练的损失、验证准确率和验证平衡准确率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raining_history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204493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Lines/>
        <w:spacing w:before="0" w:after="160" w:line="264" w:lineRule="auto"/>
        <w:jc w:val="center"/>
      </w:pPr>
      <w:r>
        <w:rPr>
          <w:rFonts w:ascii="Calibri" w:hAnsi="Calibri" w:eastAsia="Microsoft YaHei"/>
          <w:b w:val="0"/>
          <w:i w:val="0"/>
          <w:color w:val="666666"/>
          <w:sz w:val="18"/>
        </w:rPr>
        <w:t>图 5  下一分钟 LSTM 训练损失与验证指标</w:t>
      </w:r>
    </w:p>
    <w:p>
      <w:pPr>
        <w:pStyle w:val="Heading2"/>
        <w:keepNext/>
      </w:pPr>
      <w:r>
        <w:rPr>
          <w:rFonts w:ascii="Calibri" w:hAnsi="Calibri" w:eastAsia="Microsoft YaHei"/>
          <w:b/>
          <w:color w:val="2E74B5"/>
          <w:sz w:val="26"/>
        </w:rPr>
        <w:t>6.2 三类表现与交易诊断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1500"/>
        <w:gridCol w:w="2000"/>
        <w:gridCol w:w="2000"/>
        <w:gridCol w:w="2060"/>
      </w:tblGrid>
      <w:tr>
        <w:trPr>
          <w:tblHeader w:val="true"/>
        </w:trPr>
        <w:tc>
          <w:tcPr>
            <w:tcW w:type="dxa" w:w="1800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8"/>
              </w:rPr>
              <w:t>类别</w:t>
            </w:r>
          </w:p>
        </w:tc>
        <w:tc>
          <w:tcPr>
            <w:tcW w:type="dxa" w:w="1500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8"/>
              </w:rPr>
              <w:t>样本数</w:t>
            </w:r>
          </w:p>
        </w:tc>
        <w:tc>
          <w:tcPr>
            <w:tcW w:type="dxa" w:w="2000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8"/>
              </w:rPr>
              <w:t>Precision</w:t>
            </w:r>
          </w:p>
        </w:tc>
        <w:tc>
          <w:tcPr>
            <w:tcW w:type="dxa" w:w="2000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8"/>
              </w:rPr>
              <w:t>Recall</w:t>
            </w:r>
          </w:p>
        </w:tc>
        <w:tc>
          <w:tcPr>
            <w:tcW w:type="dxa" w:w="2060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8"/>
              </w:rPr>
              <w:t>F1</w:t>
            </w:r>
          </w:p>
        </w:tc>
      </w:tr>
      <w:tr>
        <w:tc>
          <w:tcPr>
            <w:tcW w:type="dxa" w:w="1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 w:eastAsia="Microsoft YaHei"/>
                <w:sz w:val="18"/>
              </w:rPr>
              <w:t>下跌</w:t>
            </w:r>
          </w:p>
        </w:tc>
        <w:tc>
          <w:tcPr>
            <w:tcW w:type="dxa" w:w="1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40" w:after="40" w:line="252" w:lineRule="auto"/>
              <w:jc w:val="center"/>
            </w:pPr>
            <w:r>
              <w:rPr>
                <w:rFonts w:ascii="Calibri" w:hAnsi="Calibri" w:eastAsia="Microsoft YaHei"/>
                <w:sz w:val="18"/>
              </w:rPr>
              <w:t>1735</w:t>
            </w:r>
          </w:p>
        </w:tc>
        <w:tc>
          <w:tcPr>
            <w:tcW w:type="dxa" w:w="20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40" w:after="40" w:line="252" w:lineRule="auto"/>
              <w:jc w:val="center"/>
            </w:pPr>
            <w:r>
              <w:rPr>
                <w:rFonts w:ascii="Calibri" w:hAnsi="Calibri" w:eastAsia="Microsoft YaHei"/>
                <w:sz w:val="18"/>
              </w:rPr>
              <w:t>41.48%</w:t>
            </w:r>
          </w:p>
        </w:tc>
        <w:tc>
          <w:tcPr>
            <w:tcW w:type="dxa" w:w="20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40" w:after="40" w:line="252" w:lineRule="auto"/>
              <w:jc w:val="center"/>
            </w:pPr>
            <w:r>
              <w:rPr>
                <w:rFonts w:ascii="Calibri" w:hAnsi="Calibri" w:eastAsia="Microsoft YaHei"/>
                <w:sz w:val="18"/>
              </w:rPr>
              <w:t>55.73%</w:t>
            </w:r>
          </w:p>
        </w:tc>
        <w:tc>
          <w:tcPr>
            <w:tcW w:type="dxa" w:w="20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40" w:after="40" w:line="252" w:lineRule="auto"/>
              <w:jc w:val="center"/>
            </w:pPr>
            <w:r>
              <w:rPr>
                <w:rFonts w:ascii="Calibri" w:hAnsi="Calibri" w:eastAsia="Microsoft YaHei"/>
                <w:sz w:val="18"/>
              </w:rPr>
              <w:t>47.57%</w:t>
            </w:r>
          </w:p>
        </w:tc>
      </w:tr>
      <w:tr>
        <w:tc>
          <w:tcPr>
            <w:tcW w:type="dxa" w:w="1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 w:eastAsia="Microsoft YaHei"/>
                <w:sz w:val="18"/>
              </w:rPr>
              <w:t>平盘</w:t>
            </w:r>
          </w:p>
        </w:tc>
        <w:tc>
          <w:tcPr>
            <w:tcW w:type="dxa" w:w="1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40" w:after="40" w:line="252" w:lineRule="auto"/>
              <w:jc w:val="center"/>
            </w:pPr>
            <w:r>
              <w:rPr>
                <w:rFonts w:ascii="Calibri" w:hAnsi="Calibri" w:eastAsia="Microsoft YaHei"/>
                <w:sz w:val="18"/>
              </w:rPr>
              <w:t>2577</w:t>
            </w:r>
          </w:p>
        </w:tc>
        <w:tc>
          <w:tcPr>
            <w:tcW w:type="dxa" w:w="20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40" w:after="40" w:line="252" w:lineRule="auto"/>
              <w:jc w:val="center"/>
            </w:pPr>
            <w:r>
              <w:rPr>
                <w:rFonts w:ascii="Calibri" w:hAnsi="Calibri" w:eastAsia="Microsoft YaHei"/>
                <w:sz w:val="18"/>
              </w:rPr>
              <w:t>53.54%</w:t>
            </w:r>
          </w:p>
        </w:tc>
        <w:tc>
          <w:tcPr>
            <w:tcW w:type="dxa" w:w="20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40" w:after="40" w:line="252" w:lineRule="auto"/>
              <w:jc w:val="center"/>
            </w:pPr>
            <w:r>
              <w:rPr>
                <w:rFonts w:ascii="Calibri" w:hAnsi="Calibri" w:eastAsia="Microsoft YaHei"/>
                <w:sz w:val="18"/>
              </w:rPr>
              <w:t>37.56%</w:t>
            </w:r>
          </w:p>
        </w:tc>
        <w:tc>
          <w:tcPr>
            <w:tcW w:type="dxa" w:w="20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40" w:after="40" w:line="252" w:lineRule="auto"/>
              <w:jc w:val="center"/>
            </w:pPr>
            <w:r>
              <w:rPr>
                <w:rFonts w:ascii="Calibri" w:hAnsi="Calibri" w:eastAsia="Microsoft YaHei"/>
                <w:sz w:val="18"/>
              </w:rPr>
              <w:t>44.15%</w:t>
            </w:r>
          </w:p>
        </w:tc>
      </w:tr>
      <w:tr>
        <w:tc>
          <w:tcPr>
            <w:tcW w:type="dxa" w:w="1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 w:eastAsia="Microsoft YaHei"/>
                <w:sz w:val="18"/>
              </w:rPr>
              <w:t>上涨</w:t>
            </w:r>
          </w:p>
        </w:tc>
        <w:tc>
          <w:tcPr>
            <w:tcW w:type="dxa" w:w="1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40" w:after="40" w:line="252" w:lineRule="auto"/>
              <w:jc w:val="center"/>
            </w:pPr>
            <w:r>
              <w:rPr>
                <w:rFonts w:ascii="Calibri" w:hAnsi="Calibri" w:eastAsia="Microsoft YaHei"/>
                <w:sz w:val="18"/>
              </w:rPr>
              <w:t>1588</w:t>
            </w:r>
          </w:p>
        </w:tc>
        <w:tc>
          <w:tcPr>
            <w:tcW w:type="dxa" w:w="20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40" w:after="40" w:line="252" w:lineRule="auto"/>
              <w:jc w:val="center"/>
            </w:pPr>
            <w:r>
              <w:rPr>
                <w:rFonts w:ascii="Calibri" w:hAnsi="Calibri" w:eastAsia="Microsoft YaHei"/>
                <w:sz w:val="18"/>
              </w:rPr>
              <w:t>42.76%</w:t>
            </w:r>
          </w:p>
        </w:tc>
        <w:tc>
          <w:tcPr>
            <w:tcW w:type="dxa" w:w="20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40" w:after="40" w:line="252" w:lineRule="auto"/>
              <w:jc w:val="center"/>
            </w:pPr>
            <w:r>
              <w:rPr>
                <w:rFonts w:ascii="Calibri" w:hAnsi="Calibri" w:eastAsia="Microsoft YaHei"/>
                <w:sz w:val="18"/>
              </w:rPr>
              <w:t>47.42%</w:t>
            </w:r>
          </w:p>
        </w:tc>
        <w:tc>
          <w:tcPr>
            <w:tcW w:type="dxa" w:w="20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40" w:after="40" w:line="252" w:lineRule="auto"/>
              <w:jc w:val="center"/>
            </w:pPr>
            <w:r>
              <w:rPr>
                <w:rFonts w:ascii="Calibri" w:hAnsi="Calibri" w:eastAsia="Microsoft YaHei"/>
                <w:sz w:val="18"/>
              </w:rPr>
              <w:t>44.97%</w:t>
            </w:r>
          </w:p>
        </w:tc>
      </w:tr>
    </w:tbl>
    <w:p>
      <w:pPr>
        <w:spacing w:after="40"/>
      </w:pP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3000"/>
        <w:gridCol w:w="1700"/>
        <w:gridCol w:w="4660"/>
      </w:tblGrid>
      <w:tr>
        <w:trPr>
          <w:tblHeader w:val="true"/>
        </w:trPr>
        <w:tc>
          <w:tcPr>
            <w:tcW w:type="dxa" w:w="3000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7"/>
              </w:rPr>
              <w:t>诊断指标</w:t>
            </w:r>
          </w:p>
        </w:tc>
        <w:tc>
          <w:tcPr>
            <w:tcW w:type="dxa" w:w="1700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7"/>
              </w:rPr>
              <w:t>结果</w:t>
            </w:r>
          </w:p>
        </w:tc>
        <w:tc>
          <w:tcPr>
            <w:tcW w:type="dxa" w:w="4660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7"/>
              </w:rPr>
              <w:t>解释</w:t>
            </w:r>
          </w:p>
        </w:tc>
      </w:tr>
      <w:tr>
        <w:tc>
          <w:tcPr>
            <w:tcW w:type="dxa" w:w="30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 w:eastAsia="Microsoft YaHei"/>
                <w:sz w:val="17"/>
              </w:rPr>
              <w:t>平盘多数基线</w:t>
            </w:r>
          </w:p>
        </w:tc>
        <w:tc>
          <w:tcPr>
            <w:tcW w:type="dxa" w:w="1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40" w:after="40" w:line="252" w:lineRule="auto"/>
              <w:jc w:val="center"/>
            </w:pPr>
            <w:r>
              <w:rPr>
                <w:rFonts w:ascii="Calibri" w:hAnsi="Calibri" w:eastAsia="Microsoft YaHei"/>
                <w:sz w:val="17"/>
              </w:rPr>
              <w:t>43.68%</w:t>
            </w:r>
          </w:p>
        </w:tc>
        <w:tc>
          <w:tcPr>
            <w:tcW w:type="dxa" w:w="4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40" w:after="40" w:line="252" w:lineRule="auto"/>
              <w:jc w:val="center"/>
            </w:pPr>
            <w:r>
              <w:rPr>
                <w:rFonts w:ascii="Calibri" w:hAnsi="Calibri" w:eastAsia="Microsoft YaHei"/>
                <w:sz w:val="17"/>
              </w:rPr>
              <w:t>全预测为样本最多的平盘类</w:t>
            </w:r>
          </w:p>
        </w:tc>
      </w:tr>
      <w:tr>
        <w:tc>
          <w:tcPr>
            <w:tcW w:type="dxa" w:w="30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 w:eastAsia="Microsoft YaHei"/>
                <w:sz w:val="17"/>
              </w:rPr>
              <w:t>真实非平盘方向准确率</w:t>
            </w:r>
          </w:p>
        </w:tc>
        <w:tc>
          <w:tcPr>
            <w:tcW w:type="dxa" w:w="1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40" w:after="40" w:line="252" w:lineRule="auto"/>
              <w:jc w:val="center"/>
            </w:pPr>
            <w:r>
              <w:rPr>
                <w:rFonts w:ascii="Calibri" w:hAnsi="Calibri" w:eastAsia="Microsoft YaHei"/>
                <w:sz w:val="17"/>
              </w:rPr>
              <w:t>51.76%</w:t>
            </w:r>
          </w:p>
        </w:tc>
        <w:tc>
          <w:tcPr>
            <w:tcW w:type="dxa" w:w="4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40" w:after="40" w:line="252" w:lineRule="auto"/>
              <w:jc w:val="center"/>
            </w:pPr>
            <w:r>
              <w:rPr>
                <w:rFonts w:ascii="Calibri" w:hAnsi="Calibri" w:eastAsia="Microsoft YaHei"/>
                <w:sz w:val="17"/>
              </w:rPr>
              <w:t>预测平盘在该口径计为错误</w:t>
            </w:r>
          </w:p>
        </w:tc>
      </w:tr>
      <w:tr>
        <w:tc>
          <w:tcPr>
            <w:tcW w:type="dxa" w:w="30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 w:eastAsia="Microsoft YaHei"/>
                <w:sz w:val="17"/>
              </w:rPr>
              <w:t>模型预测涨跌比例</w:t>
            </w:r>
          </w:p>
        </w:tc>
        <w:tc>
          <w:tcPr>
            <w:tcW w:type="dxa" w:w="1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40" w:after="40" w:line="252" w:lineRule="auto"/>
              <w:jc w:val="center"/>
            </w:pPr>
            <w:r>
              <w:rPr>
                <w:rFonts w:ascii="Calibri" w:hAnsi="Calibri" w:eastAsia="Microsoft YaHei"/>
                <w:sz w:val="17"/>
              </w:rPr>
              <w:t>69.36%</w:t>
            </w:r>
          </w:p>
        </w:tc>
        <w:tc>
          <w:tcPr>
            <w:tcW w:type="dxa" w:w="4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40" w:after="40" w:line="252" w:lineRule="auto"/>
              <w:jc w:val="center"/>
            </w:pPr>
            <w:r>
              <w:rPr>
                <w:rFonts w:ascii="Calibri" w:hAnsi="Calibri" w:eastAsia="Microsoft YaHei"/>
                <w:sz w:val="17"/>
              </w:rPr>
              <w:t>模型在全部分钟中发出方向信号的比例</w:t>
            </w:r>
          </w:p>
        </w:tc>
      </w:tr>
      <w:tr>
        <w:tc>
          <w:tcPr>
            <w:tcW w:type="dxa" w:w="30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 w:eastAsia="Microsoft YaHei"/>
                <w:sz w:val="17"/>
              </w:rPr>
              <w:t>涨跌信号精确命中率</w:t>
            </w:r>
          </w:p>
        </w:tc>
        <w:tc>
          <w:tcPr>
            <w:tcW w:type="dxa" w:w="1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40" w:after="40" w:line="252" w:lineRule="auto"/>
              <w:jc w:val="center"/>
            </w:pPr>
            <w:r>
              <w:rPr>
                <w:rFonts w:ascii="Calibri" w:hAnsi="Calibri" w:eastAsia="Microsoft YaHei"/>
                <w:sz w:val="17"/>
              </w:rPr>
              <w:t>42.03%</w:t>
            </w:r>
          </w:p>
        </w:tc>
        <w:tc>
          <w:tcPr>
            <w:tcW w:type="dxa" w:w="4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40" w:after="40" w:line="252" w:lineRule="auto"/>
              <w:jc w:val="center"/>
            </w:pPr>
            <w:r>
              <w:rPr>
                <w:rFonts w:ascii="Calibri" w:hAnsi="Calibri" w:eastAsia="Microsoft YaHei"/>
                <w:sz w:val="17"/>
              </w:rPr>
              <w:t>预测涨跌时必须与真实三分类完全一致</w:t>
            </w:r>
          </w:p>
        </w:tc>
      </w:tr>
    </w:tbl>
    <w:p>
      <w:pPr>
        <w:spacing w:after="40"/>
      </w:pPr>
    </w:p>
    <w:p>
      <w:pPr>
        <w:spacing w:before="80" w:after="200"/>
        <w:ind w:left="173" w:right="115"/>
        <w:shd w:fill="E8EEF5"/>
        <w:pBdr>
          <w:left w:val="single" w:sz="18" w:space="8" w:color="1F4D78"/>
        </w:pBdr>
      </w:pPr>
      <w:r>
        <w:rPr>
          <w:rFonts w:ascii="Calibri" w:hAnsi="Calibri" w:eastAsia="Microsoft YaHei"/>
          <w:b/>
          <w:color w:val="1F4D78"/>
          <w:sz w:val="22"/>
        </w:rPr>
        <w:t>Task5 结论：</w:t>
      </w:r>
      <w:r>
        <w:rPr>
          <w:rFonts w:ascii="Calibri" w:hAnsi="Calibri" w:eastAsia="Microsoft YaHei"/>
          <w:color w:val="0B2545"/>
          <w:sz w:val="22"/>
        </w:rPr>
        <w:t>三分类全分钟准确率 45.56%，高于平盘多数基线 43.68%；平衡准确率 46.91% 和 Macro F1 45.56% 表明模型对三类都学到了一定信息。但平盘召回率仅 37.56%，涨跌信号精确命中率仅 42.03%，仍不足以直接支持扣成本交易。</w:t>
      </w:r>
    </w:p>
    <w:p>
      <w:pPr>
        <w:pStyle w:val="Heading2"/>
        <w:keepNext/>
      </w:pPr>
      <w:r>
        <w:rPr>
          <w:rFonts w:ascii="Calibri" w:hAnsi="Calibri" w:eastAsia="Microsoft YaHei"/>
          <w:b/>
          <w:color w:val="2E74B5"/>
          <w:sz w:val="26"/>
        </w:rPr>
        <w:t>6.3 两阶段优化实验</w:t>
      </w:r>
    </w:p>
    <w:p>
      <w:pPr>
        <w:spacing w:before="0" w:after="120" w:line="264" w:lineRule="auto"/>
      </w:pPr>
      <w:r>
        <w:rPr>
          <w:rFonts w:ascii="Calibri" w:hAnsi="Calibri" w:eastAsia="Microsoft YaHei"/>
          <w:b w:val="0"/>
          <w:i w:val="0"/>
          <w:sz w:val="22"/>
        </w:rPr>
        <w:t>进一步测试了共享编码器的两阶段模型：移动头使用全部样本判断平盘/变动，方向头只在真实非平盘样本上学习下跌/上涨。输入额外加入 5/15/60 分钟平盘比例、连续未变价时长、短期绝对收益、实现波动率和分钟位置，并只在验证集校准两个阈值。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150"/>
        <w:gridCol w:w="1000"/>
        <w:gridCol w:w="1450"/>
        <w:gridCol w:w="1710"/>
        <w:gridCol w:w="1450"/>
        <w:gridCol w:w="1600"/>
      </w:tblGrid>
      <w:tr>
        <w:trPr>
          <w:tblHeader w:val="true"/>
        </w:trPr>
        <w:tc>
          <w:tcPr>
            <w:tcW w:type="dxa" w:w="2150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6"/>
              </w:rPr>
              <w:t>模型</w:t>
            </w:r>
          </w:p>
        </w:tc>
        <w:tc>
          <w:tcPr>
            <w:tcW w:type="dxa" w:w="1000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6"/>
              </w:rPr>
              <w:t>特征数</w:t>
            </w:r>
          </w:p>
        </w:tc>
        <w:tc>
          <w:tcPr>
            <w:tcW w:type="dxa" w:w="1450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6"/>
              </w:rPr>
              <w:t>Accuracy</w:t>
            </w:r>
          </w:p>
        </w:tc>
        <w:tc>
          <w:tcPr>
            <w:tcW w:type="dxa" w:w="1710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6"/>
              </w:rPr>
              <w:t>Balanced Acc.</w:t>
            </w:r>
          </w:p>
        </w:tc>
        <w:tc>
          <w:tcPr>
            <w:tcW w:type="dxa" w:w="1450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6"/>
              </w:rPr>
              <w:t>Macro F1</w:t>
            </w:r>
          </w:p>
        </w:tc>
        <w:tc>
          <w:tcPr>
            <w:tcW w:type="dxa" w:w="1600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6"/>
              </w:rPr>
              <w:t>移动检测 Bal.</w:t>
            </w:r>
          </w:p>
        </w:tc>
      </w:tr>
      <w:tr>
        <w:tc>
          <w:tcPr>
            <w:tcW w:type="dxa" w:w="21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 w:eastAsia="Microsoft YaHei"/>
                <w:sz w:val="16"/>
              </w:rPr>
              <w:t>直接三分类（正式）</w:t>
            </w:r>
          </w:p>
        </w:tc>
        <w:tc>
          <w:tcPr>
            <w:tcW w:type="dxa" w:w="10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40" w:after="40" w:line="252" w:lineRule="auto"/>
              <w:jc w:val="center"/>
            </w:pPr>
            <w:r>
              <w:rPr>
                <w:rFonts w:ascii="Calibri" w:hAnsi="Calibri" w:eastAsia="Microsoft YaHei"/>
                <w:sz w:val="16"/>
              </w:rPr>
              <w:t>11</w:t>
            </w:r>
          </w:p>
        </w:tc>
        <w:tc>
          <w:tcPr>
            <w:tcW w:type="dxa" w:w="14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40" w:after="40" w:line="252" w:lineRule="auto"/>
              <w:jc w:val="center"/>
            </w:pPr>
            <w:r>
              <w:rPr>
                <w:rFonts w:ascii="Calibri" w:hAnsi="Calibri" w:eastAsia="Microsoft YaHei"/>
                <w:sz w:val="16"/>
              </w:rPr>
              <w:t>45.56%</w:t>
            </w:r>
          </w:p>
        </w:tc>
        <w:tc>
          <w:tcPr>
            <w:tcW w:type="dxa" w:w="171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40" w:after="40" w:line="252" w:lineRule="auto"/>
              <w:jc w:val="center"/>
            </w:pPr>
            <w:r>
              <w:rPr>
                <w:rFonts w:ascii="Calibri" w:hAnsi="Calibri" w:eastAsia="Microsoft YaHei"/>
                <w:sz w:val="16"/>
              </w:rPr>
              <w:t>46.91%</w:t>
            </w:r>
          </w:p>
        </w:tc>
        <w:tc>
          <w:tcPr>
            <w:tcW w:type="dxa" w:w="14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40" w:after="40" w:line="252" w:lineRule="auto"/>
              <w:jc w:val="center"/>
            </w:pPr>
            <w:r>
              <w:rPr>
                <w:rFonts w:ascii="Calibri" w:hAnsi="Calibri" w:eastAsia="Microsoft YaHei"/>
                <w:sz w:val="16"/>
              </w:rPr>
              <w:t>45.56%</w:t>
            </w:r>
          </w:p>
        </w:tc>
        <w:tc>
          <w:tcPr>
            <w:tcW w:type="dxa" w:w="1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40" w:after="40" w:line="252" w:lineRule="auto"/>
              <w:jc w:val="center"/>
            </w:pPr>
            <w:r>
              <w:rPr>
                <w:rFonts w:ascii="Calibri" w:hAnsi="Calibri" w:eastAsia="Microsoft YaHei"/>
                <w:sz w:val="16"/>
              </w:rPr>
              <w:t>56.14%</w:t>
            </w:r>
          </w:p>
        </w:tc>
      </w:tr>
      <w:tr>
        <w:tc>
          <w:tcPr>
            <w:tcW w:type="dxa" w:w="21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 w:eastAsia="Microsoft YaHei"/>
                <w:sz w:val="16"/>
              </w:rPr>
              <w:t>两阶段共享 LSTM</w:t>
            </w:r>
          </w:p>
        </w:tc>
        <w:tc>
          <w:tcPr>
            <w:tcW w:type="dxa" w:w="10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40" w:after="40" w:line="252" w:lineRule="auto"/>
              <w:jc w:val="center"/>
            </w:pPr>
            <w:r>
              <w:rPr>
                <w:rFonts w:ascii="Calibri" w:hAnsi="Calibri" w:eastAsia="Microsoft YaHei"/>
                <w:sz w:val="16"/>
              </w:rPr>
              <w:t>20</w:t>
            </w:r>
          </w:p>
        </w:tc>
        <w:tc>
          <w:tcPr>
            <w:tcW w:type="dxa" w:w="14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40" w:after="40" w:line="252" w:lineRule="auto"/>
              <w:jc w:val="center"/>
            </w:pPr>
            <w:r>
              <w:rPr>
                <w:rFonts w:ascii="Calibri" w:hAnsi="Calibri" w:eastAsia="Microsoft YaHei"/>
                <w:sz w:val="16"/>
              </w:rPr>
              <w:t>45.22%</w:t>
            </w:r>
          </w:p>
        </w:tc>
        <w:tc>
          <w:tcPr>
            <w:tcW w:type="dxa" w:w="171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40" w:after="40" w:line="252" w:lineRule="auto"/>
              <w:jc w:val="center"/>
            </w:pPr>
            <w:r>
              <w:rPr>
                <w:rFonts w:ascii="Calibri" w:hAnsi="Calibri" w:eastAsia="Microsoft YaHei"/>
                <w:sz w:val="16"/>
              </w:rPr>
              <w:t>45.32%</w:t>
            </w:r>
          </w:p>
        </w:tc>
        <w:tc>
          <w:tcPr>
            <w:tcW w:type="dxa" w:w="14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40" w:after="40" w:line="252" w:lineRule="auto"/>
              <w:jc w:val="center"/>
            </w:pPr>
            <w:r>
              <w:rPr>
                <w:rFonts w:ascii="Calibri" w:hAnsi="Calibri" w:eastAsia="Microsoft YaHei"/>
                <w:sz w:val="16"/>
              </w:rPr>
              <w:t>44.76%</w:t>
            </w:r>
          </w:p>
        </w:tc>
        <w:tc>
          <w:tcPr>
            <w:tcW w:type="dxa" w:w="1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40" w:after="40" w:line="252" w:lineRule="auto"/>
              <w:jc w:val="center"/>
            </w:pPr>
            <w:r>
              <w:rPr>
                <w:rFonts w:ascii="Calibri" w:hAnsi="Calibri" w:eastAsia="Microsoft YaHei"/>
                <w:sz w:val="16"/>
              </w:rPr>
              <w:t>57.26%</w:t>
            </w:r>
          </w:p>
        </w:tc>
      </w:tr>
    </w:tbl>
    <w:p>
      <w:pPr>
        <w:spacing w:after="40"/>
      </w:pPr>
    </w:p>
    <w:p>
      <w:pPr>
        <w:spacing w:before="80" w:after="200"/>
        <w:ind w:left="173" w:right="115"/>
        <w:shd w:fill="E8EEF5"/>
        <w:pBdr>
          <w:left w:val="single" w:sz="18" w:space="8" w:color="7A5A00"/>
        </w:pBdr>
      </w:pPr>
      <w:r>
        <w:rPr>
          <w:rFonts w:ascii="Calibri" w:hAnsi="Calibri" w:eastAsia="Microsoft YaHei"/>
          <w:b/>
          <w:color w:val="7A5A00"/>
          <w:sz w:val="22"/>
        </w:rPr>
        <w:t>优化判断：</w:t>
      </w:r>
      <w:r>
        <w:rPr>
          <w:rFonts w:ascii="Calibri" w:hAnsi="Calibri" w:eastAsia="Microsoft YaHei"/>
          <w:color w:val="0B2545"/>
          <w:sz w:val="22"/>
        </w:rPr>
        <w:t>两阶段模型把移动检测平衡准确率从 56.14% 提高到 57.26%，但最终 Macro F1 从 45.56% 降到 44.76%。说明拆任务方向正确，但共享编码器存在任务冲突；因此保留实验输出，不替换正式模型。</w:t>
      </w:r>
    </w:p>
    <w:p>
      <w:pPr>
        <w:pStyle w:val="Heading1"/>
        <w:keepNext/>
      </w:pPr>
      <w:r>
        <w:rPr>
          <w:rFonts w:ascii="Calibri" w:hAnsi="Calibri" w:eastAsia="Microsoft YaHei"/>
          <w:b/>
          <w:color w:val="2E74B5"/>
          <w:sz w:val="32"/>
        </w:rPr>
        <w:t>七、限制与下一步</w:t>
      </w:r>
    </w:p>
    <w:p>
      <w:pPr>
        <w:pStyle w:val="ListBullet"/>
        <w:spacing w:after="160" w:line="280" w:lineRule="auto"/>
      </w:pPr>
      <w:r>
        <w:rPr>
          <w:rFonts w:ascii="Calibri" w:hAnsi="Calibri" w:eastAsia="Microsoft YaHei"/>
          <w:sz w:val="22"/>
        </w:rPr>
        <w:t>复权：代码映射已解决，但本项目只对 OHLC 复权；成交量和成交额仍按真实交易量额解释。</w:t>
      </w:r>
    </w:p>
    <w:p>
      <w:pPr>
        <w:pStyle w:val="ListBullet"/>
        <w:spacing w:after="160" w:line="280" w:lineRule="auto"/>
      </w:pPr>
      <w:r>
        <w:rPr>
          <w:rFonts w:ascii="Calibri" w:hAnsi="Calibri" w:eastAsia="Microsoft YaHei"/>
          <w:sz w:val="22"/>
        </w:rPr>
        <w:t>交易：回测未模拟涨跌停、冲击成本、成交容量和盘口成交概率。</w:t>
      </w:r>
    </w:p>
    <w:p>
      <w:pPr>
        <w:pStyle w:val="ListBullet"/>
        <w:spacing w:after="160" w:line="280" w:lineRule="auto"/>
      </w:pPr>
      <w:r>
        <w:rPr>
          <w:rFonts w:ascii="Calibri" w:hAnsi="Calibri" w:eastAsia="Microsoft YaHei"/>
          <w:sz w:val="22"/>
        </w:rPr>
        <w:t>因子：最近阶段符号反转明显；应加入短期 regime 检测、行业/规模中性化和因子正交化。</w:t>
      </w:r>
    </w:p>
    <w:p>
      <w:pPr>
        <w:pStyle w:val="ListBullet"/>
        <w:spacing w:after="160" w:line="280" w:lineRule="auto"/>
      </w:pPr>
      <w:r>
        <w:rPr>
          <w:rFonts w:ascii="Calibri" w:hAnsi="Calibri" w:eastAsia="Microsoft YaHei"/>
          <w:sz w:val="22"/>
        </w:rPr>
        <w:t>验证：应延长样本并采用多个滚动测试窗，避免一次 45 日测试偶然性。</w:t>
      </w:r>
    </w:p>
    <w:p>
      <w:pPr>
        <w:pStyle w:val="ListBullet"/>
        <w:spacing w:after="160" w:line="280" w:lineRule="auto"/>
      </w:pPr>
      <w:r>
        <w:rPr>
          <w:rFonts w:ascii="Calibri" w:hAnsi="Calibri" w:eastAsia="Microsoft YaHei"/>
          <w:sz w:val="22"/>
        </w:rPr>
        <w:t>LSTM：共享两阶段实验改善了移动检测但未改善最终三分类；下一步可尝试两个独立编码器或门控专家模型。</w:t>
      </w:r>
    </w:p>
    <w:p>
      <w:pPr>
        <w:pStyle w:val="Heading1"/>
        <w:keepNext/>
      </w:pPr>
      <w:r>
        <w:rPr>
          <w:rFonts w:ascii="Calibri" w:hAnsi="Calibri" w:eastAsia="Microsoft YaHei"/>
          <w:b/>
          <w:color w:val="2E74B5"/>
          <w:sz w:val="32"/>
        </w:rPr>
        <w:t>八、复现命令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4300"/>
        <w:gridCol w:w="5060"/>
      </w:tblGrid>
      <w:tr>
        <w:trPr>
          <w:tblHeader w:val="true"/>
        </w:trPr>
        <w:tc>
          <w:tcPr>
            <w:tcW w:type="dxa" w:w="4300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8"/>
              </w:rPr>
              <w:t>命令</w:t>
            </w:r>
          </w:p>
        </w:tc>
        <w:tc>
          <w:tcPr>
            <w:tcW w:type="dxa" w:w="5060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8"/>
              </w:rPr>
              <w:t>用途</w:t>
            </w:r>
          </w:p>
        </w:tc>
      </w:tr>
      <w:tr>
        <w:tc>
          <w:tcPr>
            <w:tcW w:type="dxa" w:w="4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 w:eastAsia="Microsoft YaHei"/>
                <w:sz w:val="18"/>
              </w:rPr>
              <w:t>run_all.bat</w:t>
            </w:r>
          </w:p>
        </w:tc>
        <w:tc>
          <w:tcPr>
            <w:tcW w:type="dxa" w:w="50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40" w:after="40" w:line="252" w:lineRule="auto"/>
              <w:jc w:val="center"/>
            </w:pPr>
            <w:r>
              <w:rPr>
                <w:rFonts w:ascii="Calibri" w:hAnsi="Calibri" w:eastAsia="Microsoft YaHei"/>
                <w:sz w:val="18"/>
              </w:rPr>
              <w:t>Task 1–4、严格回测、两套因子模型</w:t>
            </w:r>
          </w:p>
        </w:tc>
      </w:tr>
      <w:tr>
        <w:tc>
          <w:tcPr>
            <w:tcW w:type="dxa" w:w="4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 w:eastAsia="Microsoft YaHei"/>
                <w:sz w:val="18"/>
              </w:rPr>
              <w:t>run_all.bat --with-lstm</w:t>
            </w:r>
          </w:p>
        </w:tc>
        <w:tc>
          <w:tcPr>
            <w:tcW w:type="dxa" w:w="50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40" w:after="40" w:line="252" w:lineRule="auto"/>
              <w:jc w:val="center"/>
            </w:pPr>
            <w:r>
              <w:rPr>
                <w:rFonts w:ascii="Calibri" w:hAnsi="Calibri" w:eastAsia="Microsoft YaHei"/>
                <w:sz w:val="18"/>
              </w:rPr>
              <w:t>在上述流程后训练并评估 Task5 LSTM</w:t>
            </w:r>
          </w:p>
        </w:tc>
      </w:tr>
      <w:tr>
        <w:tc>
          <w:tcPr>
            <w:tcW w:type="dxa" w:w="4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 w:eastAsia="Microsoft YaHei"/>
                <w:sz w:val="18"/>
              </w:rPr>
              <w:t>py -3 scripts\smoke_test.py</w:t>
            </w:r>
          </w:p>
        </w:tc>
        <w:tc>
          <w:tcPr>
            <w:tcW w:type="dxa" w:w="50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40" w:after="40" w:line="252" w:lineRule="auto"/>
              <w:jc w:val="center"/>
            </w:pPr>
            <w:r>
              <w:rPr>
                <w:rFonts w:ascii="Calibri" w:hAnsi="Calibri" w:eastAsia="Microsoft YaHei"/>
                <w:sz w:val="18"/>
              </w:rPr>
              <w:t>快速验收降采样逻辑</w:t>
            </w:r>
          </w:p>
        </w:tc>
      </w:tr>
      <w:tr>
        <w:tc>
          <w:tcPr>
            <w:tcW w:type="dxa" w:w="4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 w:eastAsia="Microsoft YaHei"/>
                <w:sz w:val="18"/>
              </w:rPr>
              <w:t>py -3 scripts\run_task4_strict.py</w:t>
            </w:r>
          </w:p>
        </w:tc>
        <w:tc>
          <w:tcPr>
            <w:tcW w:type="dxa" w:w="50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40" w:after="40" w:line="252" w:lineRule="auto"/>
              <w:jc w:val="center"/>
            </w:pPr>
            <w:r>
              <w:rPr>
                <w:rFonts w:ascii="Calibri" w:hAnsi="Calibri" w:eastAsia="Microsoft YaHei"/>
                <w:sz w:val="18"/>
              </w:rPr>
              <w:t>只重新生成严格 Task4 结果和图</w:t>
            </w:r>
          </w:p>
        </w:tc>
      </w:tr>
    </w:tbl>
    <w:p>
      <w:pPr>
        <w:spacing w:after="40"/>
      </w:pPr>
    </w:p>
    <w:p>
      <w:pPr>
        <w:spacing w:before="0" w:after="0" w:line="264" w:lineRule="auto"/>
      </w:pPr>
      <w:r>
        <w:rPr>
          <w:rFonts w:ascii="Calibri" w:hAnsi="Calibri" w:eastAsia="Microsoft YaHei"/>
          <w:b w:val="0"/>
          <w:i w:val="0"/>
          <w:color w:val="666666"/>
          <w:sz w:val="19"/>
        </w:rPr>
        <w:t>正式数据与结果目录：project/output。旧回测、旧 LSTM 回归和重复调参结果已清理。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 w:eastAsia="Microsoft YaHei"/>
        <w:color w:val="666666"/>
        <w:sz w:val="18"/>
      </w:rPr>
      <w:t xml:space="preserve">第 </w:t>
    </w:r>
    <w:fldSimple w:instr="PAGE"/>
    <w:r>
      <w:rPr>
        <w:rFonts w:ascii="Calibri" w:hAnsi="Calibri" w:eastAsia="Microsoft YaHei"/>
        <w:color w:val="666666"/>
        <w:sz w:val="18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Calibri" w:hAnsi="Calibri" w:eastAsia="Microsoft YaHei"/>
        <w:color w:val="666666"/>
        <w:sz w:val="18"/>
      </w:rPr>
      <w:t>兆信基金量化研究 | 最终结果报告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264" w:lineRule="auto"/>
    </w:pPr>
    <w:rPr>
      <w:rFonts w:ascii="Calibri" w:hAnsi="Calibri" w:eastAsia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 w:eastAsia="Microsoft YaHe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160" w:line="280" w:lineRule="auto"/>
      <w:ind w:left="720" w:hanging="360"/>
      <w:contextualSpacing/>
    </w:pPr>
    <w:rPr>
      <w:rFonts w:ascii="Calibri" w:hAnsi="Calibri" w:eastAsia="Microsoft YaHei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兆信基金量化研究完整结果报告（最终修订版）</dc:title>
  <dc:subject>Task 1–5 全链路方法、结果与风险</dc:subject>
  <dc:creator>量化研究项目</dc:creator>
  <cp:keywords>量化研究, 因子, IC, 回测, LSTM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