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20" w:line="264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2"/>
        </w:rPr>
        <w:t>TASK 4 / RESEARCH NOTE</w:t>
      </w:r>
    </w:p>
    <w:p>
      <w:pPr>
        <w:spacing w:before="0" w:after="120" w:line="264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2"/>
        </w:rPr>
        <w:t>因子 IC 加权回测</w:t>
      </w:r>
    </w:p>
    <w:p>
      <w:pPr>
        <w:spacing w:before="0" w:after="68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30"/>
        </w:rPr>
        <w:t>时点修正、真实持仓记账与前视偏差对照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600"/>
        <w:gridCol w:w="2200"/>
        <w:gridCol w:w="34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初始资金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持仓数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卖出手续费</w:t>
            </w:r>
          </w:p>
        </w:tc>
        <w:tc>
          <w:tcPr>
            <w:tcW w:type="dxa" w:w="3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执行方式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1,000 万元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万分之五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次日开盘 / 次日收盘</w:t>
            </w:r>
          </w:p>
        </w:tc>
      </w:tr>
    </w:tbl>
    <w:p>
      <w:pPr>
        <w:spacing w:after="40"/>
      </w:pPr>
    </w:p>
    <w:p>
      <w:pPr>
        <w:spacing w:before="80" w:after="200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>结果摘要：</w:t>
      </w:r>
      <w:r>
        <w:rPr>
          <w:rFonts w:ascii="Calibri" w:hAnsi="Calibri" w:eastAsia="Microsoft YaHei"/>
          <w:color w:val="0B2545"/>
          <w:sz w:val="22"/>
        </w:rPr>
        <w:t>严格版本最优夏普为 adaptive_close：年化复合收益 12.72%，夏普 0.848，最大回撤 -16.35%。Naive 版本年化超过 1200%，但它使用未来收益确定当前权重，不能视为策略能力。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一、题目策略的问题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题目要求使用“当日因子值与次日收益率计算的 IC”给当日因子加权。在当日形成信号时，次日收益尚未发生，因此这个 IC 不可获得。若直接拿它选股，等价于先看答案再交易，产生前视偏差。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当日因子可以在当日收盘后得到；对应收益至少要等后续持有期结束。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不能把全样本平均 IC 直接用于整个样本，因为它同样包含未来区间。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Naive 结果应保留为错误对照，但必须与可信结果分开绘图和解释。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二、严格时点链路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时点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发生事项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策略允许使用的信息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 日收盘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计算当日 10 个因子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只用截至 t 的数据形成信号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t+1 开盘/收盘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执行买卖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结合当日成交量判断是否可交易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t+2 开盘/收盘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持有期收益完整实现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因子 t 的 IC 此时才进入历史权重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实现中先把原始逐日 IC 延迟两个交易日，再构造 rolling、expanding、hybrid 和 adaptive 权重。adaptive 同时要求近期与长期 IC 方向一致、近期绝对 IC 不低于 0.01，并用历史 IC 波动率调整强度。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三、组合与交易约束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每日按组合信号选择前 10 只股票，等资金目标权重。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现金和每只股票股数逐日保存；不是把每日选股收益简单平均。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执行日成交量为 0 的股票不能买卖；已持有的停牌股票继续锁定。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决策日使用过去 20 日平均成交额过滤流动性，不读取未来成交额。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卖出手续费万分之五，买入手续费不计；收益指标按 252 日年化。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四、严格回测结果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1400"/>
        <w:gridCol w:w="1400"/>
        <w:gridCol w:w="1100"/>
        <w:gridCol w:w="1500"/>
        <w:gridCol w:w="1500"/>
      </w:tblGrid>
      <w:tr>
        <w:trPr>
          <w:tblHeader w:val="true"/>
        </w:trPr>
        <w:tc>
          <w:tcPr>
            <w:tcW w:type="dxa" w:w="2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策略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年化复合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年化波动</w:t>
            </w:r>
          </w:p>
        </w:tc>
        <w:tc>
          <w:tcPr>
            <w:tcW w:type="dxa" w:w="1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夏普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最大回撤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卖出换手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rolling_close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5.71%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16.65%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0.417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-23.79%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42.17%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expanding_close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12.79%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16.47%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0.813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-18.93%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40.02%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hybrid_close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13.03%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16.53%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0.824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-18.55%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40.31%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adaptive_close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12.72%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15.56%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0.848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-16.35%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37.67%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rolling_open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2.93%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16.02%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0.260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-26.41%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43.00%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expanding_open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10.88%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15.98%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0.726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-21.32%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42.87%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hybrid_open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10.21%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16.37%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0.676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-22.01%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42.74%</w:t>
            </w:r>
          </w:p>
        </w:tc>
      </w:tr>
      <w:tr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adaptive_open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9.31%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15.33%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0.657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-20.05%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39.79%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1" name="Picture 1" descr="滚动、扩展、混合和自适应历史 IC 在开盘和收盘执行下的净值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1  八组无前视偏差策略净值</w:t>
      </w:r>
    </w:p>
    <w:p>
      <w:pPr>
        <w:spacing w:before="80" w:after="200"/>
        <w:ind w:left="173" w:right="115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>表现解释：</w:t>
      </w:r>
      <w:r>
        <w:rPr>
          <w:rFonts w:ascii="Calibri" w:hAnsi="Calibri" w:eastAsia="Microsoft YaHei"/>
          <w:color w:val="0B2545"/>
          <w:sz w:val="22"/>
        </w:rPr>
        <w:t>收盘执行整体好于开盘执行，自适应过滤改善了夏普和回撤。不过 2026 年 5 月后所有版本明显回落，与 Task3 中因子方向反转一致。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五、Naive 对照与旧图空白原因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1300"/>
        <w:gridCol w:w="2200"/>
        <w:gridCol w:w="19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对照</w:t>
            </w:r>
          </w:p>
        </w:tc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年化复合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夏普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期末净值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最大回撤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naive_close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1235.79%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11.14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221121149.23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-8.41%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naive_open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1371.25%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11.01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248163303.40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52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-5.31%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56164"/>
            <wp:docPr id="2" name="Picture 2" descr="使用未来收益的 Naive 策略与严格自适应策略的数量级差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kahead_bia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6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 w:val="0"/>
          <w:color w:val="666666"/>
          <w:sz w:val="18"/>
        </w:rPr>
        <w:t>图 2  Naive 与自适应策略对照（对数坐标）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sz w:val="22"/>
        </w:rPr>
        <w:t>旧图把 20 倍以上的 Naive 净值和约 1.1 倍的严格净值放在同一线性纵轴，严格曲线被压到坐标轴附近，看起来像没有线。现在主图只画严格策略，偏差对照图改用对数纵轴。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六、结论与限制</w:t>
      </w:r>
    </w:p>
    <w:p>
      <w:pPr>
        <w:spacing w:before="80" w:after="200"/>
        <w:ind w:left="173" w:right="115"/>
        <w:shd w:fill="E8EEF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2"/>
        </w:rPr>
        <w:t>最终判断：</w:t>
      </w:r>
      <w:r>
        <w:rPr>
          <w:rFonts w:ascii="Calibri" w:hAnsi="Calibri" w:eastAsia="Microsoft YaHei"/>
          <w:color w:val="0B2545"/>
          <w:sz w:val="22"/>
        </w:rPr>
        <w:t>Task4 的方法链路已修正，严格回测不再是全面亏损；但夏普低于 1、回撤约 16%–24%，且近期明显反转，只能算有一定研究信号，不能宣称策略已经成熟。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六位代码已与 adjfactor.pkl 完整映射，OHLC 使用归一化复权因子；量额保持真实交易口径。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尚未加入涨跌停、冲击成本、容量和盘口成交概率。</w:t>
      </w:r>
    </w:p>
    <w:p>
      <w:pPr>
        <w:pStyle w:val="ListBullet"/>
        <w:spacing w:after="160" w:line="280" w:lineRule="auto"/>
      </w:pPr>
      <w:r>
        <w:rPr>
          <w:rFonts w:ascii="Calibri" w:hAnsi="Calibri" w:eastAsia="Microsoft YaHei"/>
          <w:sz w:val="22"/>
        </w:rPr>
        <w:t>未来应以多个滚动样本外窗口为主，而不是继续针对单一全期指标调参。</w:t>
      </w:r>
    </w:p>
    <w:p>
      <w:pPr>
        <w:spacing w:before="160" w:after="0" w:line="264" w:lineRule="auto"/>
      </w:pPr>
      <w:r>
        <w:rPr>
          <w:rFonts w:ascii="Calibri" w:hAnsi="Calibri" w:eastAsia="Microsoft YaHei"/>
          <w:b w:val="0"/>
          <w:i w:val="0"/>
          <w:color w:val="666666"/>
          <w:sz w:val="19"/>
        </w:rPr>
        <w:t>结果来源：project/output/backtest_strict/metrics.csv、日度净值、IC 权重、选股明细及两张净值图。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兆信基金 | Task 4 严格回测报告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4 因子 IC 加权回测详细报告</dc:title>
  <dc:subject/>
  <dc:creator>量化研究项目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