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NCD SMALL CRAFT REGISTRATION BOARD</w:t>
      </w:r>
    </w:p>
    <w:p>
      <w:pPr>
        <w:spacing w:after="80"/>
        <w:jc w:val="center"/>
      </w:pPr>
      <w:r>
        <w:rPr>
          <w:rFonts w:ascii="Arial" w:cs="Arial" w:eastAsia="Arial" w:hAnsi="Arial"/>
          <w:b/>
          <w:bCs/>
          <w:sz w:val="28"/>
          <w:szCs w:val="28"/>
        </w:rPr>
        <w:t xml:space="preserve">BOARD MEETING</w:t>
      </w:r>
    </w:p>
    <w:p>
      <w:pPr>
        <w:spacing w:after="80"/>
        <w:jc w:val="center"/>
      </w:pPr>
      <w:r>
        <w:rPr>
          <w:rFonts w:ascii="Arial" w:cs="Arial" w:eastAsia="Arial" w:hAnsi="Arial"/>
          <w:b/>
          <w:bCs/>
          <w:color w:val="C00000"/>
          <w:sz w:val="28"/>
          <w:szCs w:val="28"/>
        </w:rPr>
        <w:t xml:space="preserve">DRAFT AGENDA</w:t>
      </w:r>
    </w:p>
    <w:p>
      <w:pPr>
        <w:spacing w:after="40"/>
        <w:jc w:val="center"/>
      </w:pPr>
      <w:r>
        <w:rPr>
          <w:rFonts w:ascii="Arial" w:cs="Arial" w:eastAsia="Arial" w:hAnsi="Arial"/>
          <w:i/>
          <w:iCs/>
          <w:sz w:val="22"/>
          <w:szCs w:val="22"/>
        </w:rPr>
        <w:t xml:space="preserve">Date and Time: To Be Confirmed</w:t>
      </w:r>
    </w:p>
    <w:p>
      <w:pPr>
        <w:spacing w:after="200"/>
        <w:jc w:val="center"/>
      </w:pPr>
      <w:r>
        <w:rPr>
          <w:rFonts w:ascii="Arial" w:cs="Arial" w:eastAsia="Arial" w:hAnsi="Arial"/>
          <w:i/>
          <w:iCs/>
          <w:sz w:val="22"/>
          <w:szCs w:val="22"/>
        </w:rPr>
        <w:t xml:space="preserve">Venue: To Be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20"/>
            </w:tcMar>
          </w:tcPr>
          <w:p>
            <w:r>
              <w:rPr>
                <w:rFonts w:ascii="Arial" w:cs="Arial" w:eastAsia="Arial" w:hAnsi="Arial"/>
                <w:b/>
                <w:bCs/>
                <w:sz w:val="22"/>
                <w:szCs w:val="22"/>
              </w:rPr>
              <w:t xml:space="preserve">Meeting</w:t>
            </w:r>
          </w:p>
        </w:tc>
        <w:tc>
          <w:tcPr>
            <w:tcW w:type="dxa" w:w="7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Second-Term Board — Meeting No. 2 (2026)</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20"/>
            </w:tcMar>
          </w:tcPr>
          <w:p>
            <w:r>
              <w:rPr>
                <w:rFonts w:ascii="Arial" w:cs="Arial" w:eastAsia="Arial" w:hAnsi="Arial"/>
                <w:b/>
                <w:bCs/>
                <w:sz w:val="22"/>
                <w:szCs w:val="22"/>
              </w:rPr>
              <w:t xml:space="preserve">Chairperson</w:t>
            </w:r>
          </w:p>
        </w:tc>
        <w:tc>
          <w:tcPr>
            <w:tcW w:type="dxa" w:w="7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Mr. Ryan Pini</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20"/>
            </w:tcMar>
          </w:tcPr>
          <w:p>
            <w:r>
              <w:rPr>
                <w:rFonts w:ascii="Arial" w:cs="Arial" w:eastAsia="Arial" w:hAnsi="Arial"/>
                <w:b/>
                <w:bCs/>
                <w:sz w:val="22"/>
                <w:szCs w:val="22"/>
              </w:rPr>
              <w:t xml:space="preserve">Distribution</w:t>
            </w:r>
          </w:p>
        </w:tc>
        <w:tc>
          <w:tcPr>
            <w:tcW w:type="dxa" w:w="7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Board Members; NMSA (for information)</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8"/>
              <w:left w:val="single" w:color="CCCCCC" w:sz="4"/>
              <w:bottom w:val="single" w:color="CCCCCC" w:sz="4"/>
              <w:right w:val="single" w:color="CCCCCC" w:sz="4"/>
            </w:tcBorders>
            <w:shd w:fill="FFF2F2" w:val="clear"/>
            <w:tcMar>
              <w:top w:type="dxa" w:w="140"/>
              <w:left w:type="dxa" w:w="180"/>
              <w:bottom w:type="dxa" w:w="140"/>
              <w:right w:type="dxa" w:w="180"/>
            </w:tcMar>
          </w:tcPr>
          <w:p>
            <w:r>
              <w:rPr>
                <w:rFonts w:ascii="Arial" w:cs="Arial" w:eastAsia="Arial" w:hAnsi="Arial"/>
                <w:i/>
                <w:iCs/>
                <w:sz w:val="22"/>
                <w:szCs w:val="22"/>
              </w:rPr>
              <w:t xml:space="preserve">Note: The Registrar, Mr. Hitolo Garia, resigned effective 27 March 2026. No Registrar's Report or financial statements will be presented at this meeting. The Board will consider the appointment of an Acting Registrar and interim administrative arrangements under item 7.1.</w:t>
            </w:r>
          </w:p>
        </w:tc>
      </w:tr>
    </w:tbl>
    <w:p>
      <w:pPr>
        <w:spacing w:after="200"/>
      </w:pPr>
      <w:r>
        <w:t xml:space="preserve"/>
      </w:r>
    </w:p>
    <w:p>
      <w:pPr>
        <w:pBdr>
          <w:bottom w:val="single" w:color="1F3864" w:sz="8" w:space="2"/>
        </w:pBdr>
        <w:spacing w:after="120" w:before="280"/>
      </w:pPr>
      <w:r>
        <w:rPr>
          <w:rFonts w:ascii="Arial" w:cs="Arial" w:eastAsia="Arial" w:hAnsi="Arial"/>
          <w:b/>
          <w:bCs/>
          <w:color w:val="1F3864"/>
          <w:sz w:val="26"/>
          <w:szCs w:val="26"/>
        </w:rPr>
        <w:t xml:space="preserve">AGENDA</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038"/>
        <w:gridCol w:w="1600"/>
        <w:gridCol w:w="11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20"/>
            </w:tcMar>
          </w:tcPr>
          <w:p>
            <w:r>
              <w:rPr>
                <w:rFonts w:ascii="Arial" w:cs="Arial" w:eastAsia="Arial" w:hAnsi="Arial"/>
                <w:b/>
                <w:bCs/>
                <w:color w:val="FFFFFF"/>
                <w:sz w:val="22"/>
                <w:szCs w:val="22"/>
              </w:rPr>
              <w:t xml:space="preserve">No.</w:t>
            </w:r>
          </w:p>
        </w:tc>
        <w:tc>
          <w:tcPr>
            <w:tcW w:type="dxa" w:w="603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20"/>
            </w:tcMar>
          </w:tcPr>
          <w:p>
            <w:r>
              <w:rPr>
                <w:rFonts w:ascii="Arial" w:cs="Arial" w:eastAsia="Arial" w:hAnsi="Arial"/>
                <w:b/>
                <w:bCs/>
                <w:color w:val="FFFFFF"/>
                <w:sz w:val="22"/>
                <w:szCs w:val="22"/>
              </w:rPr>
              <w:t xml:space="preserve">Item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20"/>
            </w:tcMar>
          </w:tcPr>
          <w:p>
            <w:r>
              <w:rPr>
                <w:rFonts w:ascii="Arial" w:cs="Arial" w:eastAsia="Arial" w:hAnsi="Arial"/>
                <w:b/>
                <w:bCs/>
                <w:color w:val="FFFFFF"/>
                <w:sz w:val="22"/>
                <w:szCs w:val="22"/>
              </w:rPr>
              <w:t xml:space="preserve">Lead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20"/>
            </w:tcMar>
          </w:tcPr>
          <w:p>
            <w:r>
              <w:rPr>
                <w:rFonts w:ascii="Arial" w:cs="Arial" w:eastAsia="Arial" w:hAnsi="Arial"/>
                <w:b/>
                <w:bCs/>
                <w:color w:val="FFFFFF"/>
                <w:sz w:val="22"/>
                <w:szCs w:val="22"/>
              </w:rPr>
              <w:t xml:space="preserve">Papers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1</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0"/>
            </w:pPr>
            <w:r>
              <w:rPr>
                <w:rFonts w:ascii="Arial" w:cs="Arial" w:eastAsia="Arial" w:hAnsi="Arial"/>
                <w:sz w:val="22"/>
                <w:szCs w:val="22"/>
              </w:rPr>
              <w:t xml:space="preserve">Call to Order</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2</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0"/>
            </w:pPr>
            <w:r>
              <w:rPr>
                <w:rFonts w:ascii="Arial" w:cs="Arial" w:eastAsia="Arial" w:hAnsi="Arial"/>
                <w:sz w:val="22"/>
                <w:szCs w:val="22"/>
              </w:rPr>
              <w:t xml:space="preserve">Attendance and Apologies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 / Secretariat</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Attendance sheet</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3</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0"/>
            </w:pPr>
            <w:r>
              <w:rPr>
                <w:rFonts w:ascii="Arial" w:cs="Arial" w:eastAsia="Arial" w:hAnsi="Arial"/>
                <w:sz w:val="22"/>
                <w:szCs w:val="22"/>
              </w:rPr>
              <w:t xml:space="preserve">Conflict of Interest Declarations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w:t>
            </w:r>
          </w:p>
        </w:tc>
      </w:tr>
      <w:tr>
        <w:tc>
          <w:tcPr>
            <w:tcW w:type="dxa" w:w="900"/>
            <w:tcBorders>
              <w:top w:val="single" w:color="1F3864" w:sz="2"/>
              <w:left w:val="single" w:color="1F3864" w:sz="2"/>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4</w:t>
            </w:r>
          </w:p>
        </w:tc>
        <w:tc>
          <w:tcPr>
            <w:tcW w:type="dxa" w:w="6038"/>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CONFIRMATION OF PREVIOUS MEETING RECORDS</w:t>
            </w:r>
          </w:p>
        </w:tc>
        <w:tc>
          <w:tcPr>
            <w:tcW w:type="dxa" w:w="16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Chairperson</w:t>
            </w:r>
          </w:p>
        </w:tc>
        <w:tc>
          <w:tcPr>
            <w:tcW w:type="dxa" w:w="11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4.1</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0"/>
            </w:pPr>
            <w:r>
              <w:rPr>
                <w:rFonts w:ascii="Arial" w:cs="Arial" w:eastAsia="Arial" w:hAnsi="Arial"/>
                <w:sz w:val="22"/>
                <w:szCs w:val="22"/>
              </w:rPr>
              <w:t xml:space="preserve">Confirmation of Minutes — October 2025 Board Meeting</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Minutes (tabled)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4.2</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0"/>
            </w:pPr>
            <w:r>
              <w:rPr>
                <w:rFonts w:ascii="Arial" w:cs="Arial" w:eastAsia="Arial" w:hAnsi="Arial"/>
                <w:sz w:val="22"/>
                <w:szCs w:val="22"/>
              </w:rPr>
              <w:t xml:space="preserve">Ratification of Circular Resolutions since October 2025</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w:t>
            </w:r>
          </w:p>
        </w:tc>
      </w:tr>
      <w:tr>
        <w:tc>
          <w:tcPr>
            <w:tcW w:type="dxa" w:w="900"/>
            <w:tcBorders>
              <w:top w:val="single" w:color="1F3864" w:sz="2"/>
              <w:left w:val="single" w:color="1F3864" w:sz="2"/>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5</w:t>
            </w:r>
          </w:p>
        </w:tc>
        <w:tc>
          <w:tcPr>
            <w:tcW w:type="dxa" w:w="6038"/>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MATTERS ARISING FROM PREVIOUS MINUTES</w:t>
            </w:r>
          </w:p>
        </w:tc>
        <w:tc>
          <w:tcPr>
            <w:tcW w:type="dxa" w:w="16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Chairperson</w:t>
            </w:r>
          </w:p>
        </w:tc>
        <w:tc>
          <w:tcPr>
            <w:tcW w:type="dxa" w:w="11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Action Register</w:t>
            </w:r>
          </w:p>
        </w:tc>
      </w:tr>
      <w:tr>
        <w:tc>
          <w:tcPr>
            <w:tcW w:type="dxa" w:w="900"/>
            <w:tcBorders>
              <w:top w:val="single" w:color="1F3864" w:sz="2"/>
              <w:left w:val="single" w:color="1F3864" w:sz="2"/>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6</w:t>
            </w:r>
          </w:p>
        </w:tc>
        <w:tc>
          <w:tcPr>
            <w:tcW w:type="dxa" w:w="6038"/>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CORRESPONDENCE</w:t>
            </w:r>
          </w:p>
        </w:tc>
        <w:tc>
          <w:tcPr>
            <w:tcW w:type="dxa" w:w="16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Chairperson</w:t>
            </w:r>
          </w:p>
        </w:tc>
        <w:tc>
          <w:tcPr>
            <w:tcW w:type="dxa" w:w="11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6.1</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0"/>
            </w:pPr>
            <w:r>
              <w:rPr>
                <w:rFonts w:ascii="Arial" w:cs="Arial" w:eastAsia="Arial" w:hAnsi="Arial"/>
                <w:sz w:val="22"/>
                <w:szCs w:val="22"/>
              </w:rPr>
              <w:t xml:space="preserve">Inward and Outward Correspondence since October 2025</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Correspondence register</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6.2</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0"/>
            </w:pPr>
            <w:r>
              <w:rPr>
                <w:rFonts w:ascii="Arial" w:cs="Arial" w:eastAsia="Arial" w:hAnsi="Arial"/>
                <w:sz w:val="22"/>
                <w:szCs w:val="22"/>
              </w:rPr>
              <w:t xml:space="preserve">MKA Meeting Outcomes — 29 April 2026
(debrief and follow-up actions)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Meeting summary (tabled)</w:t>
            </w:r>
          </w:p>
        </w:tc>
      </w:tr>
      <w:tr>
        <w:tc>
          <w:tcPr>
            <w:tcW w:type="dxa" w:w="900"/>
            <w:tcBorders>
              <w:top w:val="single" w:color="1F3864" w:sz="2"/>
              <w:left w:val="single" w:color="1F3864" w:sz="2"/>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7</w:t>
            </w:r>
          </w:p>
        </w:tc>
        <w:tc>
          <w:tcPr>
            <w:tcW w:type="dxa" w:w="6038"/>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BUSINESS OF THE MEETING</w:t>
            </w:r>
          </w:p>
        </w:tc>
        <w:tc>
          <w:tcPr>
            <w:tcW w:type="dxa" w:w="16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
            </w:r>
          </w:p>
        </w:tc>
        <w:tc>
          <w:tcPr>
            <w:tcW w:type="dxa" w:w="11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7.1</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60"/>
            </w:pPr>
            <w:r>
              <w:rPr>
                <w:rFonts w:ascii="Arial" w:cs="Arial" w:eastAsia="Arial" w:hAnsi="Arial"/>
                <w:sz w:val="22"/>
                <w:szCs w:val="22"/>
              </w:rPr>
              <w:t xml:space="preserve">Registrar Vacancy — Interim Arrangements</w:t>
            </w:r>
          </w:p>
          <w:p>
            <w:pPr>
              <w:pStyle w:val="ListParagraph"/>
              <w:numPr>
                <w:ilvl w:val="0"/>
                <w:numId w:val="2"/>
              </w:numPr>
              <w:spacing w:after="40"/>
            </w:pPr>
            <w:r>
              <w:rPr>
                <w:rFonts w:ascii="Arial" w:cs="Arial" w:eastAsia="Arial" w:hAnsi="Arial"/>
                <w:color w:val="444444"/>
                <w:sz w:val="20"/>
                <w:szCs w:val="20"/>
              </w:rPr>
              <w:t xml:space="preserve">7.1.1  Registrar's resignation effective 27 March 2026 — noted for the record</w:t>
            </w:r>
          </w:p>
          <w:p>
            <w:pPr>
              <w:pStyle w:val="ListParagraph"/>
              <w:numPr>
                <w:ilvl w:val="0"/>
                <w:numId w:val="2"/>
              </w:numPr>
              <w:spacing w:after="40"/>
            </w:pPr>
            <w:r>
              <w:rPr>
                <w:rFonts w:ascii="Arial" w:cs="Arial" w:eastAsia="Arial" w:hAnsi="Arial"/>
                <w:color w:val="444444"/>
                <w:sz w:val="20"/>
                <w:szCs w:val="20"/>
              </w:rPr>
              <w:t xml:space="preserve">7.1.2  Appointment of Acting Registrar</w:t>
            </w:r>
          </w:p>
          <w:p>
            <w:pPr>
              <w:pStyle w:val="ListParagraph"/>
              <w:numPr>
                <w:ilvl w:val="0"/>
                <w:numId w:val="2"/>
              </w:numPr>
              <w:spacing w:after="40"/>
            </w:pPr>
            <w:r>
              <w:rPr>
                <w:rFonts w:ascii="Arial" w:cs="Arial" w:eastAsia="Arial" w:hAnsi="Arial"/>
                <w:color w:val="444444"/>
                <w:sz w:val="20"/>
                <w:szCs w:val="20"/>
              </w:rPr>
              <w:t xml:space="preserve">7.1.3  Interim payroll and administrative arrangements</w:t>
            </w:r>
          </w:p>
          <w:p>
            <w:pPr>
              <w:pStyle w:val="ListParagraph"/>
              <w:numPr>
                <w:ilvl w:val="0"/>
                <w:numId w:val="2"/>
              </w:numPr>
              <w:spacing w:after="40"/>
            </w:pPr>
            <w:r>
              <w:rPr>
                <w:rFonts w:ascii="Arial" w:cs="Arial" w:eastAsia="Arial" w:hAnsi="Arial"/>
                <w:color w:val="444444"/>
                <w:sz w:val="20"/>
                <w:szCs w:val="20"/>
              </w:rPr>
              <w:t xml:space="preserve">7.1.4  Recruitment process and timeline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To be tabled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7.2</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60"/>
            </w:pPr>
            <w:r>
              <w:rPr>
                <w:rFonts w:ascii="Arial" w:cs="Arial" w:eastAsia="Arial" w:hAnsi="Arial"/>
                <w:sz w:val="22"/>
                <w:szCs w:val="22"/>
              </w:rPr>
              <w:t xml:space="preserve">Institutional and Structural Matters</w:t>
            </w:r>
          </w:p>
          <w:p>
            <w:pPr>
              <w:pStyle w:val="ListParagraph"/>
              <w:numPr>
                <w:ilvl w:val="0"/>
                <w:numId w:val="2"/>
              </w:numPr>
              <w:spacing w:after="40"/>
            </w:pPr>
            <w:r>
              <w:rPr>
                <w:rFonts w:ascii="Arial" w:cs="Arial" w:eastAsia="Arial" w:hAnsi="Arial"/>
                <w:color w:val="444444"/>
                <w:sz w:val="20"/>
                <w:szCs w:val="20"/>
              </w:rPr>
              <w:t xml:space="preserve">7.2.1  Follow-up from MKA meeting: institutional home (NCDC / MKA)</w:t>
            </w:r>
          </w:p>
          <w:p>
            <w:pPr>
              <w:pStyle w:val="ListParagraph"/>
              <w:numPr>
                <w:ilvl w:val="0"/>
                <w:numId w:val="2"/>
              </w:numPr>
              <w:spacing w:after="40"/>
            </w:pPr>
            <w:r>
              <w:rPr>
                <w:rFonts w:ascii="Arial" w:cs="Arial" w:eastAsia="Arial" w:hAnsi="Arial"/>
                <w:color w:val="444444"/>
                <w:sz w:val="20"/>
                <w:szCs w:val="20"/>
              </w:rPr>
              <w:t xml:space="preserve">7.2.2  NCD SCRB administrative structure and staffing</w:t>
            </w:r>
          </w:p>
          <w:p>
            <w:pPr>
              <w:pStyle w:val="ListParagraph"/>
              <w:numPr>
                <w:ilvl w:val="0"/>
                <w:numId w:val="2"/>
              </w:numPr>
              <w:spacing w:after="40"/>
            </w:pPr>
            <w:r>
              <w:rPr>
                <w:rFonts w:ascii="Arial" w:cs="Arial" w:eastAsia="Arial" w:hAnsi="Arial"/>
                <w:color w:val="444444"/>
                <w:sz w:val="20"/>
                <w:szCs w:val="20"/>
              </w:rPr>
              <w:t xml:space="preserve">7.2.3  NCD Small Craft (Administrative Provisions) Regulation — Approval of Working Group Terms of Reference (Attachment 5)</w:t>
            </w:r>
          </w:p>
          <w:p>
            <w:pPr>
              <w:pStyle w:val="ListParagraph"/>
              <w:numPr>
                <w:ilvl w:val="0"/>
                <w:numId w:val="2"/>
              </w:numPr>
              <w:spacing w:after="40"/>
            </w:pPr>
            <w:r>
              <w:rPr>
                <w:rFonts w:ascii="Arial" w:cs="Arial" w:eastAsia="Arial" w:hAnsi="Arial"/>
                <w:color w:val="444444"/>
                <w:sz w:val="20"/>
                <w:szCs w:val="20"/>
              </w:rPr>
              <w:t xml:space="preserve">7.2.4  Engagement with Governor's Office and NCDC on funding</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Working Group update; Attachment 5</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7.3</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60"/>
            </w:pPr>
            <w:r>
              <w:rPr>
                <w:rFonts w:ascii="Arial" w:cs="Arial" w:eastAsia="Arial" w:hAnsi="Arial"/>
                <w:sz w:val="22"/>
                <w:szCs w:val="22"/>
              </w:rPr>
              <w:t xml:space="preserve">Financial &amp; Budget Matters</w:t>
            </w:r>
          </w:p>
          <w:p>
            <w:pPr>
              <w:pStyle w:val="ListParagraph"/>
              <w:numPr>
                <w:ilvl w:val="0"/>
                <w:numId w:val="2"/>
              </w:numPr>
              <w:spacing w:after="40"/>
            </w:pPr>
            <w:r>
              <w:rPr>
                <w:rFonts w:ascii="Arial" w:cs="Arial" w:eastAsia="Arial" w:hAnsi="Arial"/>
                <w:color w:val="444444"/>
                <w:sz w:val="20"/>
                <w:szCs w:val="20"/>
              </w:rPr>
              <w:t xml:space="preserve">7.3.1  No financial report — Registrar vacancy (noted for the record)</w:t>
            </w:r>
          </w:p>
          <w:p>
            <w:pPr>
              <w:pStyle w:val="ListParagraph"/>
              <w:numPr>
                <w:ilvl w:val="0"/>
                <w:numId w:val="2"/>
              </w:numPr>
              <w:spacing w:after="40"/>
            </w:pPr>
            <w:r>
              <w:rPr>
                <w:rFonts w:ascii="Arial" w:cs="Arial" w:eastAsia="Arial" w:hAnsi="Arial"/>
                <w:color w:val="444444"/>
                <w:sz w:val="20"/>
                <w:szCs w:val="20"/>
              </w:rPr>
              <w:t xml:space="preserve">7.3.2  2026 funding submission to NCDC: status update</w:t>
            </w:r>
          </w:p>
          <w:p>
            <w:pPr>
              <w:pStyle w:val="ListParagraph"/>
              <w:numPr>
                <w:ilvl w:val="0"/>
                <w:numId w:val="2"/>
              </w:numPr>
              <w:spacing w:after="40"/>
            </w:pPr>
            <w:r>
              <w:rPr>
                <w:rFonts w:ascii="Arial" w:cs="Arial" w:eastAsia="Arial" w:hAnsi="Arial"/>
                <w:color w:val="444444"/>
                <w:sz w:val="20"/>
                <w:szCs w:val="20"/>
              </w:rPr>
              <w:t xml:space="preserve">7.3.3  Approval of interim expenditure arrangements</w:t>
            </w:r>
          </w:p>
          <w:p>
            <w:pPr>
              <w:pStyle w:val="ListParagraph"/>
              <w:numPr>
                <w:ilvl w:val="0"/>
                <w:numId w:val="2"/>
              </w:numPr>
              <w:spacing w:after="40"/>
            </w:pPr>
            <w:r>
              <w:rPr>
                <w:rFonts w:ascii="Arial" w:cs="Arial" w:eastAsia="Arial" w:hAnsi="Arial"/>
                <w:color w:val="444444"/>
                <w:sz w:val="20"/>
                <w:szCs w:val="20"/>
              </w:rPr>
              <w:t xml:space="preserve">7.3.4  Board remuneration — outstanding matters</w:t>
            </w:r>
          </w:p>
          <w:p>
            <w:pPr>
              <w:pStyle w:val="ListParagraph"/>
              <w:numPr>
                <w:ilvl w:val="0"/>
                <w:numId w:val="2"/>
              </w:numPr>
              <w:spacing w:after="40"/>
            </w:pPr>
            <w:r>
              <w:rPr>
                <w:rFonts w:ascii="Arial" w:cs="Arial" w:eastAsia="Arial" w:hAnsi="Arial"/>
                <w:color w:val="444444"/>
                <w:sz w:val="20"/>
                <w:szCs w:val="20"/>
              </w:rPr>
              <w:t xml:space="preserve">7.3.5  Consideration and provisional endorsement of the 2026 Budget (Attachments 1–4)</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Attachments 1–4</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7.4</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60"/>
            </w:pPr>
            <w:r>
              <w:rPr>
                <w:rFonts w:ascii="Arial" w:cs="Arial" w:eastAsia="Arial" w:hAnsi="Arial"/>
                <w:sz w:val="22"/>
                <w:szCs w:val="22"/>
              </w:rPr>
              <w:t xml:space="preserve">MOU — Water Police Directorate</w:t>
            </w:r>
          </w:p>
          <w:p>
            <w:pPr>
              <w:pStyle w:val="ListParagraph"/>
              <w:numPr>
                <w:ilvl w:val="0"/>
                <w:numId w:val="2"/>
              </w:numPr>
              <w:spacing w:after="40"/>
            </w:pPr>
            <w:r>
              <w:rPr>
                <w:rFonts w:ascii="Arial" w:cs="Arial" w:eastAsia="Arial" w:hAnsi="Arial"/>
                <w:color w:val="444444"/>
                <w:sz w:val="20"/>
                <w:szCs w:val="20"/>
              </w:rPr>
              <w:t xml:space="preserve">7.4.1  Status of NMSA Legal review</w:t>
            </w:r>
          </w:p>
          <w:p>
            <w:pPr>
              <w:pStyle w:val="ListParagraph"/>
              <w:numPr>
                <w:ilvl w:val="0"/>
                <w:numId w:val="2"/>
              </w:numPr>
              <w:spacing w:after="40"/>
            </w:pPr>
            <w:r>
              <w:rPr>
                <w:rFonts w:ascii="Arial" w:cs="Arial" w:eastAsia="Arial" w:hAnsi="Arial"/>
                <w:color w:val="444444"/>
                <w:sz w:val="20"/>
                <w:szCs w:val="20"/>
              </w:rPr>
              <w:t xml:space="preserve">7.4.2  Execution and implementation update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Draft MOU</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7.5</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60"/>
            </w:pPr>
            <w:r>
              <w:rPr>
                <w:rFonts w:ascii="Arial" w:cs="Arial" w:eastAsia="Arial" w:hAnsi="Arial"/>
                <w:sz w:val="22"/>
                <w:szCs w:val="22"/>
              </w:rPr>
              <w:t xml:space="preserve">Inspector Training Workshop and Community-Based Inspection Mechanism</w:t>
            </w:r>
          </w:p>
          <w:p>
            <w:pPr>
              <w:pStyle w:val="ListParagraph"/>
              <w:numPr>
                <w:ilvl w:val="0"/>
                <w:numId w:val="2"/>
              </w:numPr>
              <w:spacing w:after="40"/>
            </w:pPr>
            <w:r>
              <w:rPr>
                <w:rFonts w:ascii="Arial" w:cs="Arial" w:eastAsia="Arial" w:hAnsi="Arial"/>
                <w:color w:val="444444"/>
                <w:sz w:val="20"/>
                <w:szCs w:val="20"/>
              </w:rPr>
              <w:t xml:space="preserve">7.5.1  2026 workshop planning — venue, dates, budget</w:t>
            </w:r>
          </w:p>
          <w:p>
            <w:pPr>
              <w:pStyle w:val="ListParagraph"/>
              <w:numPr>
                <w:ilvl w:val="0"/>
                <w:numId w:val="2"/>
              </w:numPr>
              <w:spacing w:after="40"/>
            </w:pPr>
            <w:r>
              <w:rPr>
                <w:rFonts w:ascii="Arial" w:cs="Arial" w:eastAsia="Arial" w:hAnsi="Arial"/>
                <w:color w:val="444444"/>
                <w:sz w:val="20"/>
                <w:szCs w:val="20"/>
              </w:rPr>
              <w:t xml:space="preserve">7.5.2  MKA partnership for community inspector role (per April 2026 meeting)</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7.6</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60"/>
            </w:pPr>
            <w:r>
              <w:rPr>
                <w:rFonts w:ascii="Arial" w:cs="Arial" w:eastAsia="Arial" w:hAnsi="Arial"/>
                <w:sz w:val="22"/>
                <w:szCs w:val="22"/>
              </w:rPr>
              <w:t xml:space="preserve">Digital Registration Application</w:t>
            </w:r>
          </w:p>
          <w:p>
            <w:pPr>
              <w:pStyle w:val="ListParagraph"/>
              <w:numPr>
                <w:ilvl w:val="0"/>
                <w:numId w:val="2"/>
              </w:numPr>
              <w:spacing w:after="40"/>
            </w:pPr>
            <w:r>
              <w:rPr>
                <w:rFonts w:ascii="Arial" w:cs="Arial" w:eastAsia="Arial" w:hAnsi="Arial"/>
                <w:color w:val="444444"/>
                <w:sz w:val="20"/>
                <w:szCs w:val="20"/>
              </w:rPr>
              <w:t xml:space="preserve">7.6.1  Development and testing update</w:t>
            </w:r>
          </w:p>
          <w:p>
            <w:pPr>
              <w:pStyle w:val="ListParagraph"/>
              <w:numPr>
                <w:ilvl w:val="0"/>
                <w:numId w:val="2"/>
              </w:numPr>
              <w:spacing w:after="40"/>
            </w:pPr>
            <w:r>
              <w:rPr>
                <w:rFonts w:ascii="Arial" w:cs="Arial" w:eastAsia="Arial" w:hAnsi="Arial"/>
                <w:color w:val="444444"/>
                <w:sz w:val="20"/>
                <w:szCs w:val="20"/>
              </w:rPr>
              <w:t xml:space="preserve">7.6.2  Rollout readiness and next steps</w:t>
            </w:r>
          </w:p>
          <w:p>
            <w:pPr>
              <w:pStyle w:val="ListParagraph"/>
              <w:numPr>
                <w:ilvl w:val="0"/>
                <w:numId w:val="2"/>
              </w:numPr>
              <w:spacing w:after="40"/>
            </w:pPr>
            <w:r>
              <w:rPr>
                <w:rFonts w:ascii="Arial" w:cs="Arial" w:eastAsia="Arial" w:hAnsi="Arial"/>
                <w:color w:val="444444"/>
                <w:sz w:val="20"/>
                <w:szCs w:val="20"/>
              </w:rPr>
              <w:t xml:space="preserve">7.6.3  Ela Motors point-of-sale registration model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App demo (if available)</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7.7</w:t>
            </w:r>
          </w:p>
        </w:tc>
        <w:tc>
          <w:tcPr>
            <w:tcW w:type="dxa" w:w="6038"/>
            <w:tcBorders>
              <w:top w:val="single" w:color="CCCCCC" w:sz="1"/>
              <w:left w:val="single" w:color="CCCCCC" w:sz="1"/>
              <w:bottom w:val="single" w:color="CCCCCC" w:sz="1"/>
              <w:right w:val="single" w:color="CCCCCC" w:sz="1"/>
            </w:tcBorders>
            <w:tcMar>
              <w:top w:type="dxa" w:w="80"/>
              <w:left w:type="dxa" w:w="140"/>
              <w:bottom w:type="dxa" w:w="80"/>
              <w:right w:type="dxa" w:w="120"/>
            </w:tcMar>
          </w:tcPr>
          <w:p>
            <w:pPr>
              <w:spacing w:after="60"/>
            </w:pPr>
            <w:r>
              <w:rPr>
                <w:rFonts w:ascii="Arial" w:cs="Arial" w:eastAsia="Arial" w:hAnsi="Arial"/>
                <w:sz w:val="22"/>
                <w:szCs w:val="22"/>
              </w:rPr>
              <w:t xml:space="preserve">Calendar of Events / 2026 Work Plan</w:t>
            </w:r>
          </w:p>
          <w:p>
            <w:pPr>
              <w:pStyle w:val="ListParagraph"/>
              <w:numPr>
                <w:ilvl w:val="0"/>
                <w:numId w:val="2"/>
              </w:numPr>
              <w:spacing w:after="40"/>
            </w:pPr>
            <w:r>
              <w:rPr>
                <w:rFonts w:ascii="Arial" w:cs="Arial" w:eastAsia="Arial" w:hAnsi="Arial"/>
                <w:color w:val="444444"/>
                <w:sz w:val="20"/>
                <w:szCs w:val="20"/>
              </w:rPr>
              <w:t xml:space="preserve">7.7.1  Awareness activities schedule</w:t>
            </w:r>
          </w:p>
          <w:p>
            <w:pPr>
              <w:pStyle w:val="ListParagraph"/>
              <w:numPr>
                <w:ilvl w:val="0"/>
                <w:numId w:val="2"/>
              </w:numPr>
              <w:spacing w:after="40"/>
            </w:pPr>
            <w:r>
              <w:rPr>
                <w:rFonts w:ascii="Arial" w:cs="Arial" w:eastAsia="Arial" w:hAnsi="Arial"/>
                <w:color w:val="444444"/>
                <w:sz w:val="20"/>
                <w:szCs w:val="20"/>
              </w:rPr>
              <w:t xml:space="preserve">7.7.2  Koki Fish Market office — status</w:t>
            </w:r>
          </w:p>
          <w:p>
            <w:pPr>
              <w:pStyle w:val="ListParagraph"/>
              <w:numPr>
                <w:ilvl w:val="0"/>
                <w:numId w:val="2"/>
              </w:numPr>
              <w:spacing w:after="40"/>
            </w:pPr>
            <w:r>
              <w:rPr>
                <w:rFonts w:ascii="Arial" w:cs="Arial" w:eastAsia="Arial" w:hAnsi="Arial"/>
                <w:color w:val="444444"/>
                <w:sz w:val="20"/>
                <w:szCs w:val="20"/>
              </w:rPr>
              <w:t xml:space="preserve">7.7.3  Finance and Governance Subcommittee — Terms of Reference and first meeting</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Chairperson</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sz w:val="22"/>
                <w:szCs w:val="22"/>
              </w:rPr>
              <w:t xml:space="preserve">Draft work plan</w:t>
            </w:r>
          </w:p>
        </w:tc>
      </w:tr>
      <w:tr>
        <w:tc>
          <w:tcPr>
            <w:tcW w:type="dxa" w:w="900"/>
            <w:tcBorders>
              <w:top w:val="single" w:color="1F3864" w:sz="2"/>
              <w:left w:val="single" w:color="1F3864" w:sz="2"/>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8</w:t>
            </w:r>
          </w:p>
        </w:tc>
        <w:tc>
          <w:tcPr>
            <w:tcW w:type="dxa" w:w="6038"/>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OTHER BUSINESS</w:t>
            </w:r>
          </w:p>
        </w:tc>
        <w:tc>
          <w:tcPr>
            <w:tcW w:type="dxa" w:w="16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Chairperson</w:t>
            </w:r>
          </w:p>
        </w:tc>
        <w:tc>
          <w:tcPr>
            <w:tcW w:type="dxa" w:w="11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
            </w:r>
          </w:p>
        </w:tc>
      </w:tr>
      <w:tr>
        <w:tc>
          <w:tcPr>
            <w:tcW w:type="dxa" w:w="900"/>
            <w:tcBorders>
              <w:top w:val="single" w:color="1F3864" w:sz="2"/>
              <w:left w:val="single" w:color="1F3864" w:sz="2"/>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9</w:t>
            </w:r>
          </w:p>
        </w:tc>
        <w:tc>
          <w:tcPr>
            <w:tcW w:type="dxa" w:w="6038"/>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CLOSURE</w:t>
            </w:r>
          </w:p>
        </w:tc>
        <w:tc>
          <w:tcPr>
            <w:tcW w:type="dxa" w:w="16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Chairperson</w:t>
            </w:r>
          </w:p>
        </w:tc>
        <w:tc>
          <w:tcPr>
            <w:tcW w:type="dxa" w:w="11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w:t>
            </w:r>
          </w:p>
        </w:tc>
      </w:tr>
      <w:tr>
        <w:tc>
          <w:tcPr>
            <w:tcW w:type="dxa" w:w="900"/>
            <w:tcBorders>
              <w:top w:val="single" w:color="1F3864" w:sz="2"/>
              <w:left w:val="single" w:color="1F3864" w:sz="2"/>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10</w:t>
            </w:r>
          </w:p>
        </w:tc>
        <w:tc>
          <w:tcPr>
            <w:tcW w:type="dxa" w:w="6038"/>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DATE OF NEXT MEETING</w:t>
            </w:r>
          </w:p>
        </w:tc>
        <w:tc>
          <w:tcPr>
            <w:tcW w:type="dxa" w:w="16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Chairperson</w:t>
            </w:r>
          </w:p>
        </w:tc>
        <w:tc>
          <w:tcPr>
            <w:tcW w:type="dxa" w:w="1100"/>
            <w:tcBorders>
              <w:top w:val="single" w:color="1F3864" w:sz="2"/>
              <w:left w:val="single" w:color="AAAAAA" w:sz="1"/>
              <w:bottom w:val="single" w:color="1F3864" w:sz="2"/>
              <w:right w:val="single" w:color="AAAAAA" w:sz="1"/>
            </w:tcBorders>
            <w:shd w:fill="D5E8F0" w:val="clear"/>
            <w:tcMar>
              <w:top w:type="dxa" w:w="80"/>
              <w:left w:type="dxa" w:w="140"/>
              <w:bottom w:type="dxa" w:w="80"/>
              <w:right w:type="dxa" w:w="120"/>
            </w:tcMar>
          </w:tcPr>
          <w:p>
            <w:r>
              <w:rPr>
                <w:rFonts w:ascii="Arial" w:cs="Arial" w:eastAsia="Arial" w:hAnsi="Arial"/>
                <w:b/>
                <w:bCs/>
                <w:color w:val="1F3864"/>
                <w:sz w:val="22"/>
                <w:szCs w:val="22"/>
              </w:rPr>
              <w:t xml:space="preserve">—</w:t>
            </w:r>
          </w:p>
        </w:tc>
      </w:tr>
    </w:tbl>
    <w:p>
      <w:pPr>
        <w:spacing w:after="200"/>
      </w:pPr>
      <w:r>
        <w:t xml:space="preserve"/>
      </w:r>
    </w:p>
    <w:p>
      <w:pPr>
        <w:pBdr>
          <w:bottom w:val="single" w:color="1F3864" w:sz="8" w:space="2"/>
        </w:pBdr>
        <w:spacing w:after="120" w:before="280"/>
      </w:pPr>
      <w:r>
        <w:rPr>
          <w:rFonts w:ascii="Arial" w:cs="Arial" w:eastAsia="Arial" w:hAnsi="Arial"/>
          <w:b/>
          <w:bCs/>
          <w:color w:val="1F3864"/>
          <w:sz w:val="26"/>
          <w:szCs w:val="26"/>
        </w:rPr>
        <w:t xml:space="preserve">BACKGROUND NOTES FOR BOARD MEMBERS</w:t>
      </w:r>
    </w:p>
    <w:p>
      <w:pPr>
        <w:spacing w:after="80"/>
      </w:pPr>
      <w:r>
        <w:t xml:space="preserve"/>
      </w:r>
    </w:p>
    <w:p>
      <w:pPr>
        <w:pBdr>
          <w:bottom w:val="single" w:color="D5E8F0" w:sz="4" w:space="1"/>
        </w:pBdr>
        <w:spacing w:after="80" w:before="200"/>
      </w:pPr>
      <w:r>
        <w:rPr>
          <w:rFonts w:ascii="Arial" w:cs="Arial" w:eastAsia="Arial" w:hAnsi="Arial"/>
          <w:b/>
          <w:bCs/>
          <w:color w:val="1F3864"/>
          <w:sz w:val="24"/>
          <w:szCs w:val="24"/>
        </w:rPr>
        <w:t xml:space="preserve">Item 6.2 — MKA Meeting, 29 April 2026</w:t>
      </w:r>
    </w:p>
    <w:p>
      <w:pPr>
        <w:spacing w:after="80"/>
      </w:pPr>
      <w:r>
        <w:rPr>
          <w:rFonts w:ascii="Arial" w:cs="Arial" w:eastAsia="Arial" w:hAnsi="Arial"/>
          <w:sz w:val="22"/>
          <w:szCs w:val="22"/>
        </w:rPr>
        <w:t xml:space="preserve">The Chairperson met with MKA Chairman and NCD Deputy Governor Hon. Russel Simon Wavik and CEO/Assembly Manager Mr. Hendry Toua on 29 April 2026. Key matters discussed included:</w:t>
      </w:r>
    </w:p>
    <w:p>
      <w:pPr>
        <w:pStyle w:val="ListParagraph"/>
        <w:numPr>
          <w:ilvl w:val="0"/>
          <w:numId w:val="2"/>
        </w:numPr>
        <w:spacing w:after="60"/>
      </w:pPr>
      <w:r>
        <w:rPr>
          <w:rFonts w:ascii="Arial" w:cs="Arial" w:eastAsia="Arial" w:hAnsi="Arial"/>
          <w:sz w:val="22"/>
          <w:szCs w:val="22"/>
        </w:rPr>
        <w:t xml:space="preserve">The unclear institutional home of the NCD SCRB as between NCDC and MKA, causing ongoing administrative and funding difficulties.</w:t>
      </w:r>
    </w:p>
    <w:p>
      <w:pPr>
        <w:pStyle w:val="ListParagraph"/>
        <w:numPr>
          <w:ilvl w:val="0"/>
          <w:numId w:val="2"/>
        </w:numPr>
        <w:spacing w:after="60"/>
      </w:pPr>
      <w:r>
        <w:rPr>
          <w:rFonts w:ascii="Arial" w:cs="Arial" w:eastAsia="Arial" w:hAnsi="Arial"/>
          <w:sz w:val="22"/>
          <w:szCs w:val="22"/>
        </w:rPr>
        <w:t xml:space="preserve">The absence of a confirmed NCDC funding allocation and the need for a formal funding arrangement (estimated K250,000–K300,000 per year) to sustain the registry.</w:t>
      </w:r>
    </w:p>
    <w:p>
      <w:pPr>
        <w:pStyle w:val="ListParagraph"/>
        <w:numPr>
          <w:ilvl w:val="0"/>
          <w:numId w:val="2"/>
        </w:numPr>
        <w:spacing w:after="60"/>
      </w:pPr>
      <w:r>
        <w:rPr>
          <w:rFonts w:ascii="Arial" w:cs="Arial" w:eastAsia="Arial" w:hAnsi="Arial"/>
          <w:sz w:val="22"/>
          <w:szCs w:val="22"/>
        </w:rPr>
        <w:t xml:space="preserve">Water Police enforcement overreach — confiscating equipment rather than following the compliance procedures set out in the Small Craft Act 2011.</w:t>
      </w:r>
    </w:p>
    <w:p>
      <w:pPr>
        <w:pStyle w:val="ListParagraph"/>
        <w:numPr>
          <w:ilvl w:val="0"/>
          <w:numId w:val="2"/>
        </w:numPr>
        <w:spacing w:after="60"/>
      </w:pPr>
      <w:r>
        <w:rPr>
          <w:rFonts w:ascii="Arial" w:cs="Arial" w:eastAsia="Arial" w:hAnsi="Arial"/>
          <w:sz w:val="22"/>
          <w:szCs w:val="22"/>
        </w:rPr>
        <w:t xml:space="preserve">The need for a clear structure and strategy proposal to be presented to both MKA and NCDC for endorsement.</w:t>
      </w:r>
    </w:p>
    <w:p>
      <w:pPr>
        <w:pStyle w:val="ListParagraph"/>
        <w:numPr>
          <w:ilvl w:val="0"/>
          <w:numId w:val="2"/>
        </w:numPr>
        <w:spacing w:after="60"/>
      </w:pPr>
      <w:r>
        <w:rPr>
          <w:rFonts w:ascii="Arial" w:cs="Arial" w:eastAsia="Arial" w:hAnsi="Arial"/>
          <w:sz w:val="22"/>
          <w:szCs w:val="22"/>
        </w:rPr>
        <w:t xml:space="preserve">MKA expressed support for the Board's work and encouraged the Board to formally articulate what it needs from MKA and NCDC.</w:t>
      </w:r>
    </w:p>
    <w:p>
      <w:pPr>
        <w:spacing w:after="120"/>
      </w:pPr>
      <w:r>
        <w:t xml:space="preserve"/>
      </w:r>
    </w:p>
    <w:p>
      <w:pPr>
        <w:pBdr>
          <w:bottom w:val="single" w:color="D5E8F0" w:sz="4" w:space="1"/>
        </w:pBdr>
        <w:spacing w:after="80" w:before="200"/>
      </w:pPr>
      <w:r>
        <w:rPr>
          <w:rFonts w:ascii="Arial" w:cs="Arial" w:eastAsia="Arial" w:hAnsi="Arial"/>
          <w:b/>
          <w:bCs/>
          <w:color w:val="1F3864"/>
          <w:sz w:val="24"/>
          <w:szCs w:val="24"/>
        </w:rPr>
        <w:t xml:space="preserve">Item 7.1 — Registrar Vacancy</w:t>
      </w:r>
    </w:p>
    <w:p>
      <w:pPr>
        <w:spacing w:after="80"/>
      </w:pPr>
      <w:r>
        <w:rPr>
          <w:rFonts w:ascii="Arial" w:cs="Arial" w:eastAsia="Arial" w:hAnsi="Arial"/>
          <w:sz w:val="22"/>
          <w:szCs w:val="22"/>
        </w:rPr>
        <w:t xml:space="preserve">Mr. Hitolo Garia resigned as Registrar effective 27 March 2026. His departure leaves a gap in the day-to-day administration of the registry. The Board will need to consider:</w:t>
      </w:r>
    </w:p>
    <w:p>
      <w:pPr>
        <w:pStyle w:val="ListParagraph"/>
        <w:numPr>
          <w:ilvl w:val="0"/>
          <w:numId w:val="2"/>
        </w:numPr>
        <w:spacing w:after="60"/>
      </w:pPr>
      <w:r>
        <w:rPr>
          <w:rFonts w:ascii="Arial" w:cs="Arial" w:eastAsia="Arial" w:hAnsi="Arial"/>
          <w:sz w:val="22"/>
          <w:szCs w:val="22"/>
        </w:rPr>
        <w:t xml:space="preserve">The appointment of an Acting Registrar on an interim basis to maintain operational continuity.</w:t>
      </w:r>
    </w:p>
    <w:p>
      <w:pPr>
        <w:pStyle w:val="ListParagraph"/>
        <w:numPr>
          <w:ilvl w:val="0"/>
          <w:numId w:val="2"/>
        </w:numPr>
        <w:spacing w:after="60"/>
      </w:pPr>
      <w:r>
        <w:rPr>
          <w:rFonts w:ascii="Arial" w:cs="Arial" w:eastAsia="Arial" w:hAnsi="Arial"/>
          <w:sz w:val="22"/>
          <w:szCs w:val="22"/>
        </w:rPr>
        <w:t xml:space="preserve">The payroll and administrative arrangements for the Acting Registrar, noting the unresolved institutional home question.</w:t>
      </w:r>
    </w:p>
    <w:p>
      <w:pPr>
        <w:pStyle w:val="ListParagraph"/>
        <w:numPr>
          <w:ilvl w:val="0"/>
          <w:numId w:val="2"/>
        </w:numPr>
        <w:spacing w:after="60"/>
      </w:pPr>
      <w:r>
        <w:rPr>
          <w:rFonts w:ascii="Arial" w:cs="Arial" w:eastAsia="Arial" w:hAnsi="Arial"/>
          <w:sz w:val="22"/>
          <w:szCs w:val="22"/>
        </w:rPr>
        <w:t xml:space="preserve">A medium-term recruitment process for a permanent Registrar, to be linked to the resolution of the structural and funding matters under item 7.2.</w:t>
      </w:r>
    </w:p>
    <w:p>
      <w:pPr>
        <w:spacing w:after="120"/>
      </w:pPr>
      <w:r>
        <w:t xml:space="preserve"/>
      </w:r>
    </w:p>
    <w:p>
      <w:pPr>
        <w:pBdr>
          <w:bottom w:val="single" w:color="D5E8F0" w:sz="4" w:space="1"/>
        </w:pBdr>
        <w:spacing w:after="80" w:before="200"/>
      </w:pPr>
      <w:r>
        <w:rPr>
          <w:rFonts w:ascii="Arial" w:cs="Arial" w:eastAsia="Arial" w:hAnsi="Arial"/>
          <w:b/>
          <w:bCs/>
          <w:color w:val="1F3864"/>
          <w:sz w:val="24"/>
          <w:szCs w:val="24"/>
        </w:rPr>
        <w:t xml:space="preserve">Item 7.2 — Institutional and Structural Matters</w:t>
      </w:r>
    </w:p>
    <w:p>
      <w:pPr>
        <w:spacing w:after="80"/>
      </w:pPr>
      <w:r>
        <w:rPr>
          <w:rFonts w:ascii="Arial" w:cs="Arial" w:eastAsia="Arial" w:hAnsi="Arial"/>
          <w:sz w:val="22"/>
          <w:szCs w:val="22"/>
        </w:rPr>
        <w:t xml:space="preserve">The Board's October 2025 meeting resolved to develop a supplementary NCD Small Craft (Administrative Provisions) Regulation and established a Working Group to progress this. The MKA meeting of April 2026 reinforces the urgency of resolving the institutional home question. The Board should consider a clear position paper for presentation to both NCDC and MKA.</w:t>
      </w:r>
    </w:p>
    <w:p>
      <w:pPr>
        <w:spacing w:after="120"/>
      </w:pPr>
      <w:r>
        <w:t xml:space="preserve"/>
      </w:r>
    </w:p>
    <w:p>
      <w:pPr>
        <w:pBdr>
          <w:bottom w:val="single" w:color="D5E8F0" w:sz="4" w:space="1"/>
        </w:pBdr>
        <w:spacing w:after="80" w:before="200"/>
      </w:pPr>
      <w:r>
        <w:rPr>
          <w:rFonts w:ascii="Arial" w:cs="Arial" w:eastAsia="Arial" w:hAnsi="Arial"/>
          <w:b/>
          <w:bCs/>
          <w:color w:val="1F3864"/>
          <w:sz w:val="24"/>
          <w:szCs w:val="24"/>
        </w:rPr>
        <w:t xml:space="preserve">Item 7.3 — Financial Matters</w:t>
      </w:r>
    </w:p>
    <w:p>
      <w:pPr>
        <w:spacing w:after="80"/>
      </w:pPr>
      <w:r>
        <w:rPr>
          <w:rFonts w:ascii="Arial" w:cs="Arial" w:eastAsia="Arial" w:hAnsi="Arial"/>
          <w:sz w:val="22"/>
          <w:szCs w:val="22"/>
        </w:rPr>
        <w:t xml:space="preserve">No Registrar's report or financial statements will be presented at this meeting due to the vacancy. The Board should establish interim arrangements for financial oversight and approve any necessary expenditure authorities for the period ahead.</w:t>
      </w:r>
    </w:p>
    <w:p>
      <w:pPr>
        <w:spacing w:after="200"/>
      </w:pPr>
      <w:r>
        <w:t xml:space="preserve"/>
      </w:r>
    </w:p>
    <w:p>
      <w:pPr>
        <w:pBdr>
          <w:bottom w:val="single" w:color="1F3864" w:sz="8" w:space="2"/>
        </w:pBdr>
        <w:spacing w:after="120" w:before="280"/>
      </w:pPr>
      <w:r>
        <w:rPr>
          <w:rFonts w:ascii="Arial" w:cs="Arial" w:eastAsia="Arial" w:hAnsi="Arial"/>
          <w:b/>
          <w:bCs/>
          <w:color w:val="1F3864"/>
          <w:sz w:val="26"/>
          <w:szCs w:val="26"/>
        </w:rPr>
        <w:t xml:space="preserve">ANNEX A — OUTSTANDING ACTIONS FROM OCTOBER 2025 MEETING</w:t>
      </w:r>
    </w:p>
    <w:p>
      <w:pPr>
        <w:spacing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438"/>
        <w:gridCol w:w="2400"/>
        <w:gridCol w:w="19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20"/>
            </w:tcMar>
          </w:tcPr>
          <w:p>
            <w:r>
              <w:rPr>
                <w:rFonts w:ascii="Arial" w:cs="Arial" w:eastAsia="Arial" w:hAnsi="Arial"/>
                <w:b/>
                <w:bCs/>
                <w:color w:val="FFFFFF"/>
                <w:sz w:val="20"/>
                <w:szCs w:val="20"/>
              </w:rPr>
              <w:t xml:space="preserve">Motion</w:t>
            </w:r>
          </w:p>
        </w:tc>
        <w:tc>
          <w:tcPr>
            <w:tcW w:type="dxa" w:w="443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20"/>
            </w:tcMar>
          </w:tcPr>
          <w:p>
            <w:r>
              <w:rPr>
                <w:rFonts w:ascii="Arial" w:cs="Arial" w:eastAsia="Arial" w:hAnsi="Arial"/>
                <w:b/>
                <w:bCs/>
                <w:color w:val="FFFFFF"/>
                <w:sz w:val="20"/>
                <w:szCs w:val="20"/>
              </w:rPr>
              <w:t xml:space="preserve">Responsibility</w:t>
            </w:r>
          </w:p>
        </w:tc>
        <w:tc>
          <w:tcPr>
            <w:tcW w:type="dxa" w:w="1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6.1</w:t>
            </w:r>
          </w:p>
        </w:tc>
        <w:tc>
          <w:tcPr>
            <w:tcW w:type="dxa" w:w="4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Forward draft MOU to NMSA Legal (Ms. Tim) for review; upon clearance, Chairperson to sign.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Registrar / Chairperson</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In progress — update at item 7.4</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7.1.1</w:t>
            </w:r>
          </w:p>
        </w:tc>
        <w:tc>
          <w:tcPr>
            <w:tcW w:type="dxa" w:w="4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Registrar employment transition from MKA — orderly separation to be completed.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Registrar / MKA</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Registrar resigned 27 Mar 2026 — to be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7.2</w:t>
            </w:r>
          </w:p>
        </w:tc>
        <w:tc>
          <w:tcPr>
            <w:tcW w:type="dxa" w:w="4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Draft 2026 Budget and Remuneration Framework; forward to NCDC; revise on funding confirmation.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Chairperson / Registrar</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Pending — update at item 7.3</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7.2.3</w:t>
            </w:r>
          </w:p>
        </w:tc>
        <w:tc>
          <w:tcPr>
            <w:tcW w:type="dxa" w:w="4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Draft 2026 funding submission to NCDC; engage NCDC Finance; benchmark fees.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Registrar</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Pending — impacted by vacancy</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7.3.1</w:t>
            </w:r>
          </w:p>
        </w:tc>
        <w:tc>
          <w:tcPr>
            <w:tcW w:type="dxa" w:w="4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Proceed with drafting NCD Small Craft (Administrative Provisions) Regulations through Working Group.</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Chairperson / Registrar</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Update at item 7.2</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7.3.2</w:t>
            </w:r>
          </w:p>
        </w:tc>
        <w:tc>
          <w:tcPr>
            <w:tcW w:type="dxa" w:w="4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Draft Working Group ToR by 11 Nov 2025; nominate members; circulate mid-Nov; first meeting late Nov 2025.</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Chairperson / Registrar</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Update at item 7.2</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7.4.1</w:t>
            </w:r>
          </w:p>
        </w:tc>
        <w:tc>
          <w:tcPr>
            <w:tcW w:type="dxa" w:w="4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Finalise Q4 2025 and 2026 work plan; follow up Koki office space; continue app testing; re-engage Ela Motors.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Registrar / Chairperson</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Update at item 7.6 / 7.7</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8</w:t>
            </w:r>
          </w:p>
        </w:tc>
        <w:tc>
          <w:tcPr>
            <w:tcW w:type="dxa" w:w="4438"/>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Draft Terms of Reference for Finance and Governance Subcommittee; schedule strategy session.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Secretariat / Chairperson</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val="false"/>
                <w:bCs w:val="false"/>
                <w:color w:val="000000"/>
                <w:sz w:val="20"/>
                <w:szCs w:val="20"/>
              </w:rPr>
              <w:t xml:space="preserve">Update at item 7.7</w:t>
            </w:r>
          </w:p>
        </w:tc>
      </w:tr>
    </w:tbl>
    <w:p>
      <w:pPr>
        <w:spacing w:after="160"/>
      </w:pPr>
      <w:r>
        <w:t xml:space="preserve"/>
      </w:r>
    </w:p>
    <w:p>
      <w:pPr>
        <w:spacing w:after="80"/>
      </w:pPr>
      <w:r>
        <w:rPr>
          <w:rFonts w:ascii="Arial" w:cs="Arial" w:eastAsia="Arial" w:hAnsi="Arial"/>
          <w:i/>
          <w:iCs/>
          <w:sz w:val="22"/>
          <w:szCs w:val="22"/>
        </w:rPr>
        <w:t xml:space="preserve">Prepared by: Chairperson / Secretariat</w:t>
      </w:r>
    </w:p>
    <w:p>
      <w:pPr>
        <w:spacing w:after="80"/>
      </w:pPr>
      <w:r>
        <w:rPr>
          <w:rFonts w:ascii="Arial" w:cs="Arial" w:eastAsia="Arial" w:hAnsi="Arial"/>
          <w:i/>
          <w:iCs/>
          <w:color w:val="C00000"/>
          <w:sz w:val="22"/>
          <w:szCs w:val="22"/>
        </w:rPr>
        <w:t xml:space="preserve">Status: DRAFT — for Board review and comment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2026-05-04T06:04:40.750Z</dcterms:created>
  <dcterms:modified xsi:type="dcterms:W3CDTF">2026-05-04T06:04:40.750Z</dcterms:modified>
</cp:coreProperties>
</file>

<file path=docProps/custom.xml><?xml version="1.0" encoding="utf-8"?>
<Properties xmlns="http://schemas.openxmlformats.org/officeDocument/2006/custom-properties" xmlns:vt="http://schemas.openxmlformats.org/officeDocument/2006/docPropsVTypes"/>
</file>