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6C89DE" w14:textId="4095B03E" w:rsidR="007D4F5A" w:rsidRDefault="00E80318" w:rsidP="004C6278">
      <w:pPr>
        <w:pStyle w:val="Heading1"/>
      </w:pPr>
      <w:bookmarkStart w:id="0" w:name="_Hlk241580614"/>
      <w:r>
        <w:t>ASRs &amp; Quality Drivers</w:t>
      </w:r>
    </w:p>
    <w:p w14:paraId="4997114A" w14:textId="7DEE9FF3" w:rsidR="00E80318" w:rsidRDefault="007E076A" w:rsidP="00E80318">
      <w:r>
        <w:t xml:space="preserve">Architecturally Significant Requirements (ASRs) are those requirements that are significant in designing the system’s architecture, thus given a higher priority </w:t>
      </w:r>
      <w:sdt>
        <w:sdtPr>
          <w:id w:val="-875925739"/>
          <w:citation/>
        </w:sdtPr>
        <w:sdtEndPr/>
        <w:sdtContent>
          <w:r w:rsidR="00BE3BB8">
            <w:fldChar w:fldCharType="begin"/>
          </w:r>
          <w:r w:rsidR="00BE3BB8">
            <w:instrText xml:space="preserve"> CITATION Har24 \l 7177 </w:instrText>
          </w:r>
          <w:r w:rsidR="00BE3BB8">
            <w:fldChar w:fldCharType="separate"/>
          </w:r>
          <w:r w:rsidR="00F00B5E" w:rsidRPr="00F00B5E">
            <w:rPr>
              <w:noProof/>
            </w:rPr>
            <w:t>(Harikrishnan, 2024)</w:t>
          </w:r>
          <w:r w:rsidR="00BE3BB8">
            <w:fldChar w:fldCharType="end"/>
          </w:r>
        </w:sdtContent>
      </w:sdt>
      <w:r>
        <w:t xml:space="preserve">. Meaning a system architect’s decisions are influenced by these requirements. </w:t>
      </w:r>
      <w:proofErr w:type="spellStart"/>
      <w:r>
        <w:t>Bode’s</w:t>
      </w:r>
      <w:proofErr w:type="spellEnd"/>
      <w:r>
        <w:t xml:space="preserve"> (2011) doctoral thesis on quality-goal-oriented architectural design frames this precisely: architectural analysis takes functional and non-functional requirements plus business-goal context and, from these, “defines the architecturally significant requirements”, which then drive architectural synthesis- the creation of candidate solutions- and architectural evaluation, which checks that the right decisions were made. A </w:t>
      </w:r>
      <w:r>
        <w:rPr>
          <w:b/>
        </w:rPr>
        <w:t xml:space="preserve">quality driver </w:t>
      </w:r>
      <w:r w:rsidR="00542EA2">
        <w:t>is the more specific mechanism by which an ASR exerts that influence.</w:t>
      </w:r>
    </w:p>
    <w:tbl>
      <w:tblPr>
        <w:tblStyle w:val="TableGrid"/>
        <w:tblW w:w="0" w:type="auto"/>
        <w:tblLayout w:type="fixed"/>
        <w:tblLook w:val="04A0" w:firstRow="1" w:lastRow="0" w:firstColumn="1" w:lastColumn="0" w:noHBand="0" w:noVBand="1"/>
      </w:tblPr>
      <w:tblGrid>
        <w:gridCol w:w="1612"/>
        <w:gridCol w:w="1502"/>
        <w:gridCol w:w="1624"/>
        <w:gridCol w:w="2203"/>
        <w:gridCol w:w="2075"/>
      </w:tblGrid>
      <w:tr w:rsidR="00E23AC9" w14:paraId="4BA4F0F9" w14:textId="77777777" w:rsidTr="00F00B5E">
        <w:tc>
          <w:tcPr>
            <w:tcW w:w="1612" w:type="dxa"/>
          </w:tcPr>
          <w:p w14:paraId="3490C2C1" w14:textId="5914163C" w:rsidR="00542EA2" w:rsidRPr="00542EA2" w:rsidRDefault="00542EA2" w:rsidP="00E80318">
            <w:pPr>
              <w:rPr>
                <w:b/>
              </w:rPr>
            </w:pPr>
            <w:r>
              <w:rPr>
                <w:b/>
              </w:rPr>
              <w:t>Quality Driver</w:t>
            </w:r>
          </w:p>
        </w:tc>
        <w:tc>
          <w:tcPr>
            <w:tcW w:w="1502" w:type="dxa"/>
          </w:tcPr>
          <w:p w14:paraId="308C2DE5" w14:textId="7D8FCD5A" w:rsidR="00542EA2" w:rsidRPr="00542EA2" w:rsidRDefault="00542EA2" w:rsidP="00E80318">
            <w:pPr>
              <w:rPr>
                <w:b/>
              </w:rPr>
            </w:pPr>
            <w:proofErr w:type="spellStart"/>
            <w:r w:rsidRPr="00542EA2">
              <w:rPr>
                <w:b/>
              </w:rPr>
              <w:t>CivicConnect</w:t>
            </w:r>
            <w:proofErr w:type="spellEnd"/>
            <w:r w:rsidRPr="00542EA2">
              <w:rPr>
                <w:b/>
              </w:rPr>
              <w:t xml:space="preserve"> Evidence</w:t>
            </w:r>
          </w:p>
        </w:tc>
        <w:tc>
          <w:tcPr>
            <w:tcW w:w="1624" w:type="dxa"/>
          </w:tcPr>
          <w:p w14:paraId="0CC9847C" w14:textId="07C60543" w:rsidR="00542EA2" w:rsidRPr="00542EA2" w:rsidRDefault="00542EA2" w:rsidP="00E80318">
            <w:pPr>
              <w:rPr>
                <w:b/>
              </w:rPr>
            </w:pPr>
            <w:r w:rsidRPr="00542EA2">
              <w:rPr>
                <w:b/>
              </w:rPr>
              <w:t>Measure/Test</w:t>
            </w:r>
          </w:p>
        </w:tc>
        <w:tc>
          <w:tcPr>
            <w:tcW w:w="2203" w:type="dxa"/>
          </w:tcPr>
          <w:p w14:paraId="29EC37CE" w14:textId="41A00316" w:rsidR="00542EA2" w:rsidRPr="00542EA2" w:rsidRDefault="00542EA2" w:rsidP="00E80318">
            <w:pPr>
              <w:rPr>
                <w:b/>
              </w:rPr>
            </w:pPr>
            <w:r w:rsidRPr="00542EA2">
              <w:rPr>
                <w:b/>
              </w:rPr>
              <w:t>Architecture Implication</w:t>
            </w:r>
          </w:p>
        </w:tc>
        <w:tc>
          <w:tcPr>
            <w:tcW w:w="2075" w:type="dxa"/>
          </w:tcPr>
          <w:p w14:paraId="66259A7F" w14:textId="7B3CA70D" w:rsidR="00542EA2" w:rsidRPr="00542EA2" w:rsidRDefault="00542EA2" w:rsidP="00E80318">
            <w:pPr>
              <w:rPr>
                <w:b/>
              </w:rPr>
            </w:pPr>
            <w:r w:rsidRPr="00542EA2">
              <w:rPr>
                <w:b/>
              </w:rPr>
              <w:t>Grounding</w:t>
            </w:r>
          </w:p>
        </w:tc>
      </w:tr>
      <w:tr w:rsidR="00E23AC9" w14:paraId="522EA8E8" w14:textId="77777777" w:rsidTr="00F00B5E">
        <w:tc>
          <w:tcPr>
            <w:tcW w:w="1612" w:type="dxa"/>
          </w:tcPr>
          <w:p w14:paraId="76AB42DC" w14:textId="4CF28EE5" w:rsidR="00542EA2" w:rsidRPr="00E23AC9" w:rsidRDefault="00E23AC9" w:rsidP="00E80318">
            <w:r>
              <w:t>Performance</w:t>
            </w:r>
          </w:p>
        </w:tc>
        <w:tc>
          <w:tcPr>
            <w:tcW w:w="1502" w:type="dxa"/>
          </w:tcPr>
          <w:p w14:paraId="2330F07A" w14:textId="7ECB5035" w:rsidR="00542EA2" w:rsidRPr="00E23AC9" w:rsidRDefault="00E23AC9" w:rsidP="00E80318">
            <w:r>
              <w:t>Functional Requirement NFR-001 (Non-Functional Requirement)</w:t>
            </w:r>
          </w:p>
        </w:tc>
        <w:tc>
          <w:tcPr>
            <w:tcW w:w="1624" w:type="dxa"/>
          </w:tcPr>
          <w:p w14:paraId="27864A38" w14:textId="091AA5D6" w:rsidR="00542EA2" w:rsidRPr="00E23AC9" w:rsidRDefault="00E23AC9" w:rsidP="00E80318">
            <w:r w:rsidRPr="00E23AC9">
              <w:t>95% of selected actions &lt;= 3 seconds</w:t>
            </w:r>
          </w:p>
        </w:tc>
        <w:tc>
          <w:tcPr>
            <w:tcW w:w="2203" w:type="dxa"/>
          </w:tcPr>
          <w:p w14:paraId="65DA0E46" w14:textId="52262745" w:rsidR="00542EA2" w:rsidRPr="00E23AC9" w:rsidRDefault="00E23AC9" w:rsidP="00E80318">
            <w:r>
              <w:t>Influence application/data architecture</w:t>
            </w:r>
          </w:p>
        </w:tc>
        <w:tc>
          <w:tcPr>
            <w:tcW w:w="2075" w:type="dxa"/>
          </w:tcPr>
          <w:p w14:paraId="79627BA7" w14:textId="5BC0ED71" w:rsidR="00542EA2" w:rsidRPr="00E23AC9" w:rsidRDefault="00E23AC9" w:rsidP="00E80318">
            <w:r w:rsidRPr="00E23AC9">
              <w:t>Silva et al. (2023) note that architecture-only performance metrics let this kind of response-time target be checked against a design before code exists, rather than only after implementation.</w:t>
            </w:r>
          </w:p>
        </w:tc>
      </w:tr>
      <w:tr w:rsidR="00E23AC9" w14:paraId="7081220A" w14:textId="77777777" w:rsidTr="00F00B5E">
        <w:tc>
          <w:tcPr>
            <w:tcW w:w="1612" w:type="dxa"/>
          </w:tcPr>
          <w:p w14:paraId="77501033" w14:textId="1E933DA4" w:rsidR="00E23AC9" w:rsidRDefault="00E23AC9" w:rsidP="00E80318">
            <w:r>
              <w:t>Security</w:t>
            </w:r>
          </w:p>
        </w:tc>
        <w:tc>
          <w:tcPr>
            <w:tcW w:w="1502" w:type="dxa"/>
          </w:tcPr>
          <w:p w14:paraId="558A59FB" w14:textId="162130E5" w:rsidR="00E23AC9" w:rsidRDefault="00E23AC9" w:rsidP="00E80318">
            <w:r>
              <w:t>NFR-002/NFR-003</w:t>
            </w:r>
          </w:p>
        </w:tc>
        <w:tc>
          <w:tcPr>
            <w:tcW w:w="1624" w:type="dxa"/>
          </w:tcPr>
          <w:p w14:paraId="37AAC9ED" w14:textId="62802715" w:rsidR="00E23AC9" w:rsidRPr="00E23AC9" w:rsidRDefault="00E23AC9" w:rsidP="00E80318">
            <w:r>
              <w:t>Role-access tests</w:t>
            </w:r>
          </w:p>
        </w:tc>
        <w:tc>
          <w:tcPr>
            <w:tcW w:w="2203" w:type="dxa"/>
          </w:tcPr>
          <w:p w14:paraId="2E115779" w14:textId="10350802" w:rsidR="00E23AC9" w:rsidRDefault="00E23AC9" w:rsidP="00E80318">
            <w:r>
              <w:t>Requires authentication/authorisation boundaries.</w:t>
            </w:r>
          </w:p>
        </w:tc>
        <w:tc>
          <w:tcPr>
            <w:tcW w:w="2075" w:type="dxa"/>
          </w:tcPr>
          <w:p w14:paraId="6A5596A5" w14:textId="2C3B9F46" w:rsidR="00E23AC9" w:rsidRPr="00E23AC9" w:rsidRDefault="00E23AC9" w:rsidP="00E80318">
            <w:proofErr w:type="spellStart"/>
            <w:r>
              <w:t>Sohofi</w:t>
            </w:r>
            <w:proofErr w:type="spellEnd"/>
            <w:r>
              <w:t xml:space="preserve"> &amp; </w:t>
            </w:r>
            <w:proofErr w:type="spellStart"/>
            <w:r>
              <w:t>Dehbashi</w:t>
            </w:r>
            <w:proofErr w:type="spellEnd"/>
            <w:r>
              <w:t xml:space="preserve"> </w:t>
            </w:r>
            <w:proofErr w:type="spellStart"/>
            <w:r>
              <w:t>Dezfouli's</w:t>
            </w:r>
            <w:proofErr w:type="spellEnd"/>
            <w:r>
              <w:t xml:space="preserve"> (2025) review shows Role-Based Access Control (RBAC) is standard mechanism for “streamlining user management in complex organisational </w:t>
            </w:r>
            <w:proofErr w:type="spellStart"/>
            <w:r>
              <w:t>strutres</w:t>
            </w:r>
            <w:proofErr w:type="spellEnd"/>
            <w:r>
              <w:t xml:space="preserve">”- for </w:t>
            </w:r>
            <w:proofErr w:type="spellStart"/>
            <w:r>
              <w:t>CivicConnect</w:t>
            </w:r>
            <w:proofErr w:type="spellEnd"/>
            <w:r>
              <w:t xml:space="preserve"> this means the architecture must expose an explicit authorisation boundary rather than embedding access checks ad hoc </w:t>
            </w:r>
            <w:r w:rsidR="00935202">
              <w:t>across components.</w:t>
            </w:r>
          </w:p>
        </w:tc>
      </w:tr>
      <w:tr w:rsidR="00935202" w:rsidRPr="00935202" w14:paraId="6162B358" w14:textId="77777777" w:rsidTr="00F00B5E">
        <w:tc>
          <w:tcPr>
            <w:tcW w:w="1612" w:type="dxa"/>
            <w:hideMark/>
          </w:tcPr>
          <w:p w14:paraId="44310075"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b/>
                <w:bCs/>
                <w:sz w:val="24"/>
                <w:szCs w:val="24"/>
                <w:lang w:eastAsia="en-ZA"/>
              </w:rPr>
              <w:t>Data Integrity</w:t>
            </w:r>
          </w:p>
        </w:tc>
        <w:tc>
          <w:tcPr>
            <w:tcW w:w="1502" w:type="dxa"/>
            <w:hideMark/>
          </w:tcPr>
          <w:p w14:paraId="26EB6112"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NFR-004</w:t>
            </w:r>
          </w:p>
        </w:tc>
        <w:tc>
          <w:tcPr>
            <w:tcW w:w="1624" w:type="dxa"/>
            <w:hideMark/>
          </w:tcPr>
          <w:p w14:paraId="2EF7BDD7"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 xml:space="preserve">Invalid records/status </w:t>
            </w:r>
            <w:r w:rsidRPr="00935202">
              <w:rPr>
                <w:rFonts w:ascii="Times New Roman" w:eastAsia="Times New Roman" w:hAnsi="Times New Roman" w:cs="Times New Roman"/>
                <w:sz w:val="24"/>
                <w:szCs w:val="24"/>
                <w:lang w:eastAsia="en-ZA"/>
              </w:rPr>
              <w:lastRenderedPageBreak/>
              <w:t>transitions rejected</w:t>
            </w:r>
          </w:p>
        </w:tc>
        <w:tc>
          <w:tcPr>
            <w:tcW w:w="2203" w:type="dxa"/>
            <w:hideMark/>
          </w:tcPr>
          <w:p w14:paraId="713AB3D3"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lastRenderedPageBreak/>
              <w:t>Influences data model and validation</w:t>
            </w:r>
          </w:p>
        </w:tc>
        <w:tc>
          <w:tcPr>
            <w:tcW w:w="2075" w:type="dxa"/>
            <w:hideMark/>
          </w:tcPr>
          <w:p w14:paraId="741193DE"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 xml:space="preserve">Consistent with layered-enforcement </w:t>
            </w:r>
            <w:r w:rsidRPr="00935202">
              <w:rPr>
                <w:rFonts w:ascii="Times New Roman" w:eastAsia="Times New Roman" w:hAnsi="Times New Roman" w:cs="Times New Roman"/>
                <w:sz w:val="24"/>
                <w:szCs w:val="24"/>
                <w:lang w:eastAsia="en-ZA"/>
              </w:rPr>
              <w:lastRenderedPageBreak/>
              <w:t xml:space="preserve">findings already established for </w:t>
            </w:r>
            <w:proofErr w:type="spellStart"/>
            <w:r w:rsidRPr="00935202">
              <w:rPr>
                <w:rFonts w:ascii="Times New Roman" w:eastAsia="Times New Roman" w:hAnsi="Times New Roman" w:cs="Times New Roman"/>
                <w:sz w:val="24"/>
                <w:szCs w:val="24"/>
                <w:lang w:eastAsia="en-ZA"/>
              </w:rPr>
              <w:t>CivicConnect's</w:t>
            </w:r>
            <w:proofErr w:type="spellEnd"/>
            <w:r w:rsidRPr="00935202">
              <w:rPr>
                <w:rFonts w:ascii="Times New Roman" w:eastAsia="Times New Roman" w:hAnsi="Times New Roman" w:cs="Times New Roman"/>
                <w:sz w:val="24"/>
                <w:szCs w:val="24"/>
                <w:lang w:eastAsia="en-ZA"/>
              </w:rPr>
              <w:t xml:space="preserve"> persistence design (client, application/service and database-constraint layers).</w:t>
            </w:r>
          </w:p>
        </w:tc>
      </w:tr>
      <w:tr w:rsidR="00935202" w:rsidRPr="00935202" w14:paraId="36DA42E3" w14:textId="77777777" w:rsidTr="00F00B5E">
        <w:tc>
          <w:tcPr>
            <w:tcW w:w="1612" w:type="dxa"/>
            <w:hideMark/>
          </w:tcPr>
          <w:p w14:paraId="22870F03"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b/>
                <w:bCs/>
                <w:sz w:val="24"/>
                <w:szCs w:val="24"/>
                <w:lang w:eastAsia="en-ZA"/>
              </w:rPr>
              <w:lastRenderedPageBreak/>
              <w:t>Reliability</w:t>
            </w:r>
          </w:p>
        </w:tc>
        <w:tc>
          <w:tcPr>
            <w:tcW w:w="1502" w:type="dxa"/>
            <w:hideMark/>
          </w:tcPr>
          <w:p w14:paraId="3257A9FA"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NFR-005</w:t>
            </w:r>
          </w:p>
        </w:tc>
        <w:tc>
          <w:tcPr>
            <w:tcW w:w="1624" w:type="dxa"/>
            <w:hideMark/>
          </w:tcPr>
          <w:p w14:paraId="6820A506"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Saved request survives refresh/recoverable failure handled</w:t>
            </w:r>
          </w:p>
        </w:tc>
        <w:tc>
          <w:tcPr>
            <w:tcW w:w="2203" w:type="dxa"/>
            <w:hideMark/>
          </w:tcPr>
          <w:p w14:paraId="4767C2C7"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Influences persistence/error handling</w:t>
            </w:r>
          </w:p>
        </w:tc>
        <w:tc>
          <w:tcPr>
            <w:tcW w:w="2075" w:type="dxa"/>
            <w:hideMark/>
          </w:tcPr>
          <w:p w14:paraId="72A81FD6"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 xml:space="preserve">An architecturally significant requirement in </w:t>
            </w:r>
            <w:proofErr w:type="spellStart"/>
            <w:r w:rsidRPr="00935202">
              <w:rPr>
                <w:rFonts w:ascii="Times New Roman" w:eastAsia="Times New Roman" w:hAnsi="Times New Roman" w:cs="Times New Roman"/>
                <w:sz w:val="24"/>
                <w:szCs w:val="24"/>
                <w:lang w:eastAsia="en-ZA"/>
              </w:rPr>
              <w:t>Bode's</w:t>
            </w:r>
            <w:proofErr w:type="spellEnd"/>
            <w:r w:rsidRPr="00935202">
              <w:rPr>
                <w:rFonts w:ascii="Times New Roman" w:eastAsia="Times New Roman" w:hAnsi="Times New Roman" w:cs="Times New Roman"/>
                <w:sz w:val="24"/>
                <w:szCs w:val="24"/>
                <w:lang w:eastAsia="en-ZA"/>
              </w:rPr>
              <w:t xml:space="preserve"> sense: it forces a structural decision (transaction boundaries, rollback behaviour) rather than a cosmetic one.</w:t>
            </w:r>
          </w:p>
        </w:tc>
      </w:tr>
      <w:tr w:rsidR="00935202" w:rsidRPr="00935202" w14:paraId="1EC034E0" w14:textId="77777777" w:rsidTr="00F00B5E">
        <w:tc>
          <w:tcPr>
            <w:tcW w:w="1612" w:type="dxa"/>
            <w:hideMark/>
          </w:tcPr>
          <w:p w14:paraId="6E44D8E7"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b/>
                <w:bCs/>
                <w:sz w:val="24"/>
                <w:szCs w:val="24"/>
                <w:lang w:eastAsia="en-ZA"/>
              </w:rPr>
              <w:t>Maintainability</w:t>
            </w:r>
          </w:p>
        </w:tc>
        <w:tc>
          <w:tcPr>
            <w:tcW w:w="1502" w:type="dxa"/>
            <w:hideMark/>
          </w:tcPr>
          <w:p w14:paraId="6241F8F9"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NFR-010</w:t>
            </w:r>
          </w:p>
        </w:tc>
        <w:tc>
          <w:tcPr>
            <w:tcW w:w="1624" w:type="dxa"/>
            <w:hideMark/>
          </w:tcPr>
          <w:p w14:paraId="17F94765"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Modular structure + automated checks</w:t>
            </w:r>
          </w:p>
        </w:tc>
        <w:tc>
          <w:tcPr>
            <w:tcW w:w="2203" w:type="dxa"/>
            <w:hideMark/>
          </w:tcPr>
          <w:p w14:paraId="5134A67D"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Influences component/module boundaries</w:t>
            </w:r>
          </w:p>
        </w:tc>
        <w:tc>
          <w:tcPr>
            <w:tcW w:w="2075" w:type="dxa"/>
            <w:hideMark/>
          </w:tcPr>
          <w:p w14:paraId="6BE3D71C" w14:textId="413E1BF1"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Silva et al. (2023) catalogue maintainability metrics precisely because it is one of the quality attributes most commonly evaluated at the architecture-only level, before full implementation.</w:t>
            </w:r>
          </w:p>
        </w:tc>
      </w:tr>
      <w:tr w:rsidR="00935202" w:rsidRPr="00935202" w14:paraId="66D72430" w14:textId="77777777" w:rsidTr="00F00B5E">
        <w:tc>
          <w:tcPr>
            <w:tcW w:w="1612" w:type="dxa"/>
            <w:hideMark/>
          </w:tcPr>
          <w:p w14:paraId="4EB937D6"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b/>
                <w:bCs/>
                <w:sz w:val="24"/>
                <w:szCs w:val="24"/>
                <w:lang w:eastAsia="en-ZA"/>
              </w:rPr>
              <w:t>Scalability</w:t>
            </w:r>
          </w:p>
        </w:tc>
        <w:tc>
          <w:tcPr>
            <w:tcW w:w="1502" w:type="dxa"/>
            <w:hideMark/>
          </w:tcPr>
          <w:p w14:paraId="329FEB01"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NFR-011</w:t>
            </w:r>
          </w:p>
        </w:tc>
        <w:tc>
          <w:tcPr>
            <w:tcW w:w="1624" w:type="dxa"/>
            <w:hideMark/>
          </w:tcPr>
          <w:p w14:paraId="3C074C2C"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Capacity test against agreed volume</w:t>
            </w:r>
          </w:p>
        </w:tc>
        <w:tc>
          <w:tcPr>
            <w:tcW w:w="2203" w:type="dxa"/>
            <w:hideMark/>
          </w:tcPr>
          <w:p w14:paraId="7F020068"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Influences architecture and technology choices</w:t>
            </w:r>
          </w:p>
        </w:tc>
        <w:tc>
          <w:tcPr>
            <w:tcW w:w="2075" w:type="dxa"/>
            <w:hideMark/>
          </w:tcPr>
          <w:p w14:paraId="0AD6A07A" w14:textId="77777777" w:rsidR="00935202" w:rsidRPr="00935202" w:rsidRDefault="00935202" w:rsidP="00935202">
            <w:pPr>
              <w:rPr>
                <w:rFonts w:ascii="Times New Roman" w:eastAsia="Times New Roman" w:hAnsi="Times New Roman" w:cs="Times New Roman"/>
                <w:sz w:val="24"/>
                <w:szCs w:val="24"/>
                <w:lang w:eastAsia="en-ZA"/>
              </w:rPr>
            </w:pPr>
            <w:proofErr w:type="spellStart"/>
            <w:r w:rsidRPr="00935202">
              <w:rPr>
                <w:rFonts w:ascii="Times New Roman" w:eastAsia="Times New Roman" w:hAnsi="Times New Roman" w:cs="Times New Roman"/>
                <w:sz w:val="24"/>
                <w:szCs w:val="24"/>
                <w:lang w:eastAsia="en-ZA"/>
              </w:rPr>
              <w:t>Losavio</w:t>
            </w:r>
            <w:proofErr w:type="spellEnd"/>
            <w:r w:rsidRPr="00935202">
              <w:rPr>
                <w:rFonts w:ascii="Times New Roman" w:eastAsia="Times New Roman" w:hAnsi="Times New Roman" w:cs="Times New Roman"/>
                <w:sz w:val="24"/>
                <w:szCs w:val="24"/>
                <w:lang w:eastAsia="en-ZA"/>
              </w:rPr>
              <w:t xml:space="preserve"> et al. (2004) show scalability-related characteristics must be specified with explicit attributes, units and scale types under the International Organization for Standardization (ISO) 9126-1 quality model so that "key" architectural options can </w:t>
            </w:r>
            <w:proofErr w:type="gramStart"/>
            <w:r w:rsidRPr="00935202">
              <w:rPr>
                <w:rFonts w:ascii="Times New Roman" w:eastAsia="Times New Roman" w:hAnsi="Times New Roman" w:cs="Times New Roman"/>
                <w:sz w:val="24"/>
                <w:szCs w:val="24"/>
                <w:lang w:eastAsia="en-ZA"/>
              </w:rPr>
              <w:t>actually be</w:t>
            </w:r>
            <w:proofErr w:type="gramEnd"/>
            <w:r w:rsidRPr="00935202">
              <w:rPr>
                <w:rFonts w:ascii="Times New Roman" w:eastAsia="Times New Roman" w:hAnsi="Times New Roman" w:cs="Times New Roman"/>
                <w:sz w:val="24"/>
                <w:szCs w:val="24"/>
                <w:lang w:eastAsia="en-ZA"/>
              </w:rPr>
              <w:t xml:space="preserve"> compared against a target volume rather than assumed (p.1).</w:t>
            </w:r>
          </w:p>
        </w:tc>
      </w:tr>
      <w:tr w:rsidR="00935202" w:rsidRPr="00935202" w14:paraId="577A9077" w14:textId="77777777" w:rsidTr="00F00B5E">
        <w:tc>
          <w:tcPr>
            <w:tcW w:w="1612" w:type="dxa"/>
            <w:hideMark/>
          </w:tcPr>
          <w:p w14:paraId="6694244B"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b/>
                <w:bCs/>
                <w:sz w:val="24"/>
                <w:szCs w:val="24"/>
                <w:lang w:eastAsia="en-ZA"/>
              </w:rPr>
              <w:t>Auditability</w:t>
            </w:r>
          </w:p>
        </w:tc>
        <w:tc>
          <w:tcPr>
            <w:tcW w:w="1502" w:type="dxa"/>
            <w:hideMark/>
          </w:tcPr>
          <w:p w14:paraId="5C414FCC"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NFR-009</w:t>
            </w:r>
          </w:p>
        </w:tc>
        <w:tc>
          <w:tcPr>
            <w:tcW w:w="1624" w:type="dxa"/>
            <w:hideMark/>
          </w:tcPr>
          <w:p w14:paraId="509F3D4B"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Lifecycle actions record user/date/action</w:t>
            </w:r>
          </w:p>
        </w:tc>
        <w:tc>
          <w:tcPr>
            <w:tcW w:w="2203" w:type="dxa"/>
            <w:hideMark/>
          </w:tcPr>
          <w:p w14:paraId="07FF4D93"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Influences data model and service design</w:t>
            </w:r>
          </w:p>
        </w:tc>
        <w:tc>
          <w:tcPr>
            <w:tcW w:w="2075" w:type="dxa"/>
            <w:hideMark/>
          </w:tcPr>
          <w:p w14:paraId="684FC662"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An architecturally significant requirement because it forces every state-changing service to emit a traceable record, not just the requirement's owning component.</w:t>
            </w:r>
          </w:p>
        </w:tc>
      </w:tr>
      <w:tr w:rsidR="00935202" w:rsidRPr="00935202" w14:paraId="669C35DE" w14:textId="77777777" w:rsidTr="00F00B5E">
        <w:tc>
          <w:tcPr>
            <w:tcW w:w="1612" w:type="dxa"/>
            <w:hideMark/>
          </w:tcPr>
          <w:p w14:paraId="14051088"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b/>
                <w:bCs/>
                <w:sz w:val="24"/>
                <w:szCs w:val="24"/>
                <w:lang w:eastAsia="en-ZA"/>
              </w:rPr>
              <w:t>Cost</w:t>
            </w:r>
          </w:p>
        </w:tc>
        <w:tc>
          <w:tcPr>
            <w:tcW w:w="1502" w:type="dxa"/>
            <w:hideMark/>
          </w:tcPr>
          <w:p w14:paraId="2157E915"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NFR-012 / CON-004 (Constraint)</w:t>
            </w:r>
          </w:p>
        </w:tc>
        <w:tc>
          <w:tcPr>
            <w:tcW w:w="1624" w:type="dxa"/>
            <w:hideMark/>
          </w:tcPr>
          <w:p w14:paraId="44957C88"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Service limits/cost checked</w:t>
            </w:r>
          </w:p>
        </w:tc>
        <w:tc>
          <w:tcPr>
            <w:tcW w:w="2203" w:type="dxa"/>
            <w:hideMark/>
          </w:tcPr>
          <w:p w14:paraId="35D74632" w14:textId="77777777"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Influences technology/deployment selection</w:t>
            </w:r>
          </w:p>
        </w:tc>
        <w:tc>
          <w:tcPr>
            <w:tcW w:w="2075" w:type="dxa"/>
            <w:hideMark/>
          </w:tcPr>
          <w:p w14:paraId="1EACCF5F" w14:textId="47DDF832" w:rsidR="00935202" w:rsidRPr="00935202" w:rsidRDefault="00935202" w:rsidP="00935202">
            <w:pPr>
              <w:rPr>
                <w:rFonts w:ascii="Times New Roman" w:eastAsia="Times New Roman" w:hAnsi="Times New Roman" w:cs="Times New Roman"/>
                <w:sz w:val="24"/>
                <w:szCs w:val="24"/>
                <w:lang w:eastAsia="en-ZA"/>
              </w:rPr>
            </w:pPr>
            <w:r w:rsidRPr="00935202">
              <w:rPr>
                <w:rFonts w:ascii="Times New Roman" w:eastAsia="Times New Roman" w:hAnsi="Times New Roman" w:cs="Times New Roman"/>
                <w:sz w:val="24"/>
                <w:szCs w:val="24"/>
                <w:lang w:eastAsia="en-ZA"/>
              </w:rPr>
              <w:t xml:space="preserve">Directly linked to a project constraint (CON-004) rather than a stakeholder wish, which is exactly the kind of traceable source </w:t>
            </w:r>
            <w:r>
              <w:rPr>
                <w:rFonts w:ascii="Times New Roman" w:eastAsia="Times New Roman" w:hAnsi="Times New Roman" w:cs="Times New Roman"/>
                <w:sz w:val="24"/>
                <w:szCs w:val="24"/>
                <w:lang w:eastAsia="en-ZA"/>
              </w:rPr>
              <w:t>ASR</w:t>
            </w:r>
            <w:r w:rsidRPr="00935202">
              <w:rPr>
                <w:rFonts w:ascii="Times New Roman" w:eastAsia="Times New Roman" w:hAnsi="Times New Roman" w:cs="Times New Roman"/>
                <w:sz w:val="24"/>
                <w:szCs w:val="24"/>
                <w:lang w:eastAsia="en-ZA"/>
              </w:rPr>
              <w:t xml:space="preserve"> requires each driver to have.</w:t>
            </w:r>
          </w:p>
        </w:tc>
      </w:tr>
    </w:tbl>
    <w:p w14:paraId="0BD94289" w14:textId="32CCEEE3" w:rsidR="00542EA2" w:rsidRDefault="00542EA2" w:rsidP="00E80318"/>
    <w:p w14:paraId="369774D5" w14:textId="1646CE4F" w:rsidR="00F342FF" w:rsidRDefault="00F342FF" w:rsidP="00F342FF">
      <w:pPr>
        <w:pStyle w:val="Heading5"/>
      </w:pPr>
      <w:r>
        <w:t>Measurable or testable expectations</w:t>
      </w:r>
    </w:p>
    <w:p w14:paraId="356576F4" w14:textId="6AA1C0DA" w:rsidR="00F342FF" w:rsidRDefault="00DC3CE2" w:rsidP="00F342FF">
      <w:r>
        <w:t xml:space="preserve">Every row already carries a stated Measure/Test. </w:t>
      </w:r>
      <w:proofErr w:type="gramStart"/>
      <w:r>
        <w:t>This matters</w:t>
      </w:r>
      <w:proofErr w:type="gramEnd"/>
      <w:r>
        <w:t xml:space="preserve"> because, per Silva et al. (2023), architecture-level evaluation splits into scenario-based methods (</w:t>
      </w:r>
      <w:proofErr w:type="spellStart"/>
      <w:r>
        <w:t>e.g</w:t>
      </w:r>
      <w:proofErr w:type="spellEnd"/>
      <w:r>
        <w:t xml:space="preserve"> the Architecture </w:t>
      </w:r>
      <w:proofErr w:type="spellStart"/>
      <w:r>
        <w:t>Tradeoff</w:t>
      </w:r>
      <w:proofErr w:type="spellEnd"/>
      <w:r>
        <w:t xml:space="preserve"> Analysis Method, ATAM, which assigns one precise value to one attribute) and metric-based methods, which assign one precise value to one attribute. </w:t>
      </w:r>
      <w:proofErr w:type="spellStart"/>
      <w:r>
        <w:t>CivicConnect’s</w:t>
      </w:r>
      <w:proofErr w:type="spellEnd"/>
      <w:r>
        <w:t xml:space="preserve"> table follows the metric-based approach- one testable expectation per driver- which is what lets these be checked at design time rather than left as vague intentions.</w:t>
      </w:r>
    </w:p>
    <w:p w14:paraId="5A70663A" w14:textId="6A828FD1" w:rsidR="00DC3CE2" w:rsidRDefault="00603DBE" w:rsidP="00F342FF">
      <w:proofErr w:type="spellStart"/>
      <w:r>
        <w:t>Losavio</w:t>
      </w:r>
      <w:proofErr w:type="spellEnd"/>
      <w:r w:rsidR="00DC3CE2">
        <w:t xml:space="preserve"> et al. (2004) </w:t>
      </w:r>
      <w:r>
        <w:t>reinforce</w:t>
      </w:r>
      <w:r w:rsidR="00DC3CE2">
        <w:t xml:space="preserve"> that a scalability or performance target is only usable if it’s expressed with an explicit attribute, unit</w:t>
      </w:r>
      <w:r>
        <w:t>,</w:t>
      </w:r>
      <w:r w:rsidR="00DC3CE2">
        <w:t xml:space="preserve"> and scale.</w:t>
      </w:r>
    </w:p>
    <w:p w14:paraId="7F52FEC0" w14:textId="3F7EAD54" w:rsidR="00603DBE" w:rsidRDefault="00603DBE" w:rsidP="00603DBE">
      <w:pPr>
        <w:pStyle w:val="Heading5"/>
      </w:pPr>
      <w:r>
        <w:t>How drivers influence architecture, data, technology, and design</w:t>
      </w:r>
    </w:p>
    <w:p w14:paraId="79CC56FD" w14:textId="1F263FA8" w:rsidR="00603DBE" w:rsidRDefault="00603DBE" w:rsidP="00603DBE">
      <w:pPr>
        <w:pStyle w:val="ListParagraph"/>
        <w:numPr>
          <w:ilvl w:val="0"/>
          <w:numId w:val="4"/>
        </w:numPr>
      </w:pPr>
      <w:r>
        <w:rPr>
          <w:b/>
        </w:rPr>
        <w:t xml:space="preserve">Architecture: </w:t>
      </w:r>
      <w:r>
        <w:t xml:space="preserve">Security (NFR-002/003) requires an explicit authorisation boundary. </w:t>
      </w:r>
      <w:proofErr w:type="spellStart"/>
      <w:r>
        <w:t>Sohofi</w:t>
      </w:r>
      <w:proofErr w:type="spellEnd"/>
      <w:r>
        <w:t xml:space="preserve"> &amp; </w:t>
      </w:r>
      <w:proofErr w:type="spellStart"/>
      <w:r>
        <w:t>Dehbashi</w:t>
      </w:r>
      <w:proofErr w:type="spellEnd"/>
      <w:r>
        <w:t xml:space="preserve"> </w:t>
      </w:r>
      <w:proofErr w:type="spellStart"/>
      <w:r>
        <w:t>Dezfouli's</w:t>
      </w:r>
      <w:proofErr w:type="spellEnd"/>
      <w:r>
        <w:t xml:space="preserve"> (2025) comparison of Discretionary Access Control (DAC), Mandatory Access Control (MAC), Role-Based Access Control (RBAC), and Attribute-Based Access Control (ABAC) supports choosing RBAC specifically for </w:t>
      </w:r>
      <w:proofErr w:type="spellStart"/>
      <w:r>
        <w:t>CivicConnect</w:t>
      </w:r>
      <w:proofErr w:type="spellEnd"/>
      <w:r>
        <w:t>, since its roles (requester, staff, administrator) map onto RBAC’s organisational-role model rather than ABAC’s finer-grained attribute logic.</w:t>
      </w:r>
    </w:p>
    <w:p w14:paraId="1964C8AE" w14:textId="5F49DF8E" w:rsidR="00603DBE" w:rsidRDefault="00603DBE" w:rsidP="00603DBE">
      <w:pPr>
        <w:pStyle w:val="ListParagraph"/>
        <w:numPr>
          <w:ilvl w:val="0"/>
          <w:numId w:val="4"/>
        </w:numPr>
      </w:pPr>
      <w:r>
        <w:rPr>
          <w:b/>
        </w:rPr>
        <w:t>Data:</w:t>
      </w:r>
      <w:r>
        <w:t xml:space="preserve"> Data Integrity (NFR-004) and </w:t>
      </w:r>
      <w:r w:rsidR="0078752D">
        <w:t>Auditability</w:t>
      </w:r>
      <w:r>
        <w:t xml:space="preserve"> (NFR-009) both force every state-changing service to validate transitions and emit a lifecycle record- a data-model consequence, not just a validation-logic one.</w:t>
      </w:r>
    </w:p>
    <w:p w14:paraId="417A9483" w14:textId="33B7EFEE" w:rsidR="0078752D" w:rsidRDefault="0078752D" w:rsidP="0078752D">
      <w:pPr>
        <w:pStyle w:val="ListParagraph"/>
        <w:numPr>
          <w:ilvl w:val="0"/>
          <w:numId w:val="4"/>
        </w:numPr>
      </w:pPr>
      <w:r w:rsidRPr="0078752D">
        <w:rPr>
          <w:b/>
        </w:rPr>
        <w:t>Technology:</w:t>
      </w:r>
      <w:r>
        <w:t xml:space="preserve"> Scalability (NFR-011) and Cost (NFR-012/CON-004) jointly constrain technology selection- a capacity target only means something once compared against a specific hosting tier’s limits and cost.</w:t>
      </w:r>
    </w:p>
    <w:p w14:paraId="2E7CA56B" w14:textId="0AE31796" w:rsidR="0078752D" w:rsidRDefault="0078752D" w:rsidP="00771AC2">
      <w:pPr>
        <w:pStyle w:val="ListParagraph"/>
        <w:numPr>
          <w:ilvl w:val="0"/>
          <w:numId w:val="4"/>
        </w:numPr>
      </w:pPr>
      <w:r>
        <w:rPr>
          <w:b/>
        </w:rPr>
        <w:t xml:space="preserve">Design: </w:t>
      </w:r>
      <w:r>
        <w:t>Maintainability (NFR-010) forces component/module boundaries to be drawn deliberately, consistent with Silva et al.’s (2023) observation that maintainability is one of the quality attributes most commonly evaluated directly from the architecture description, before implementation exists.</w:t>
      </w:r>
    </w:p>
    <w:bookmarkEnd w:id="0"/>
    <w:p w14:paraId="262BA1E2" w14:textId="20A9D5D2" w:rsidR="00E26555" w:rsidRDefault="004460D4" w:rsidP="0078752D">
      <w:pPr>
        <w:pStyle w:val="Heading2"/>
      </w:pPr>
      <w:r>
        <w:t>Architecture Alternatives and Selection</w:t>
      </w:r>
    </w:p>
    <w:p w14:paraId="21C44441" w14:textId="2A88DED1" w:rsidR="004C6278" w:rsidRDefault="008A47D5" w:rsidP="004C6278">
      <w:r>
        <w:t>M</w:t>
      </w:r>
      <w:r w:rsidR="004C6278" w:rsidRPr="004C6278">
        <w:t>odern software systems depend more and more on organised architectural principles to control complexity, facilitate reuse, and direct quality-driven design</w:t>
      </w:r>
      <w:r>
        <w:t xml:space="preserve"> </w:t>
      </w:r>
      <w:sdt>
        <w:sdtPr>
          <w:id w:val="-1852485150"/>
          <w:citation/>
        </w:sdtPr>
        <w:sdtEndPr/>
        <w:sdtContent>
          <w:r>
            <w:fldChar w:fldCharType="begin"/>
          </w:r>
          <w:r>
            <w:instrText xml:space="preserve"> CITATION Has25 \l 7177 </w:instrText>
          </w:r>
          <w:r>
            <w:fldChar w:fldCharType="separate"/>
          </w:r>
          <w:r w:rsidR="00F00B5E" w:rsidRPr="00F00B5E">
            <w:rPr>
              <w:noProof/>
            </w:rPr>
            <w:t>(Hassouna, 2025)</w:t>
          </w:r>
          <w:r>
            <w:fldChar w:fldCharType="end"/>
          </w:r>
        </w:sdtContent>
      </w:sdt>
      <w:r w:rsidR="004C6278" w:rsidRPr="004C6278">
        <w:t>.</w:t>
      </w:r>
      <w:r w:rsidR="0009638E">
        <w:t xml:space="preserve">  Software architecture is a high-level abstraction of a s system that depicts system structure </w:t>
      </w:r>
      <w:sdt>
        <w:sdtPr>
          <w:id w:val="2127969996"/>
          <w:citation/>
        </w:sdtPr>
        <w:sdtEndPr/>
        <w:sdtContent>
          <w:r w:rsidR="0009638E">
            <w:fldChar w:fldCharType="begin"/>
          </w:r>
          <w:r w:rsidR="0009638E">
            <w:instrText xml:space="preserve"> CITATION HAJ25 \l 7177 </w:instrText>
          </w:r>
          <w:r w:rsidR="0009638E">
            <w:fldChar w:fldCharType="separate"/>
          </w:r>
          <w:r w:rsidR="00F00B5E" w:rsidRPr="00F00B5E">
            <w:rPr>
              <w:noProof/>
            </w:rPr>
            <w:t>(HAJIPOOR, et al., 2025)</w:t>
          </w:r>
          <w:r w:rsidR="0009638E">
            <w:fldChar w:fldCharType="end"/>
          </w:r>
        </w:sdtContent>
      </w:sdt>
      <w:r w:rsidR="0009638E">
        <w:t xml:space="preserve">. </w:t>
      </w:r>
    </w:p>
    <w:p w14:paraId="1897E4B9" w14:textId="27ACF676" w:rsidR="00DF6FD5" w:rsidRDefault="00DF6FD5" w:rsidP="00DF6FD5">
      <w:pPr>
        <w:pStyle w:val="Heading3"/>
      </w:pPr>
      <w:r>
        <w:t>Layered Monolithic Architecture</w:t>
      </w:r>
    </w:p>
    <w:p w14:paraId="1A66EB4B" w14:textId="6BE43D2F" w:rsidR="001A169D" w:rsidRDefault="00DF6FD5" w:rsidP="00DF6FD5">
      <w:r>
        <w:t xml:space="preserve">An architecture that allows for a single deployable application organised into a small set of horizontal layers with clear responsibilities </w:t>
      </w:r>
      <w:sdt>
        <w:sdtPr>
          <w:id w:val="1082337426"/>
          <w:citation/>
        </w:sdtPr>
        <w:sdtEndPr/>
        <w:sdtContent>
          <w:r>
            <w:fldChar w:fldCharType="begin"/>
          </w:r>
          <w:r>
            <w:instrText xml:space="preserve"> CITATION Har26 \l 7177 </w:instrText>
          </w:r>
          <w:r>
            <w:fldChar w:fldCharType="separate"/>
          </w:r>
          <w:r w:rsidR="00F00B5E" w:rsidRPr="00F00B5E">
            <w:rPr>
              <w:noProof/>
            </w:rPr>
            <w:t>(Hardzeenka, n.d.)</w:t>
          </w:r>
          <w:r>
            <w:fldChar w:fldCharType="end"/>
          </w:r>
        </w:sdtContent>
      </w:sdt>
      <w:r>
        <w:t xml:space="preserve">. The code is grouped into layers, namely the presentation layer (UI), application/service layer (Business logic), and Data Access Layer </w:t>
      </w:r>
      <w:sdt>
        <w:sdtPr>
          <w:id w:val="-1498189086"/>
          <w:citation/>
        </w:sdtPr>
        <w:sdtEndPr/>
        <w:sdtContent>
          <w:r w:rsidR="001A169D">
            <w:fldChar w:fldCharType="begin"/>
          </w:r>
          <w:r w:rsidR="001A169D">
            <w:instrText xml:space="preserve"> CITATION Alv25 \l 7177 </w:instrText>
          </w:r>
          <w:r w:rsidR="001A169D">
            <w:fldChar w:fldCharType="separate"/>
          </w:r>
          <w:r w:rsidR="00F00B5E" w:rsidRPr="00F00B5E">
            <w:rPr>
              <w:noProof/>
            </w:rPr>
            <w:t>(Alvares, 2025)</w:t>
          </w:r>
          <w:r w:rsidR="001A169D">
            <w:fldChar w:fldCharType="end"/>
          </w:r>
        </w:sdtContent>
      </w:sdt>
      <w:r>
        <w:t>.</w:t>
      </w:r>
    </w:p>
    <w:p w14:paraId="5BD9EEB4" w14:textId="3333FFA9" w:rsidR="001A169D" w:rsidRDefault="001A169D" w:rsidP="001A169D">
      <w:pPr>
        <w:pStyle w:val="Heading5"/>
        <w:numPr>
          <w:ilvl w:val="0"/>
          <w:numId w:val="1"/>
        </w:numPr>
      </w:pPr>
      <w:r>
        <w:t>Team capability</w:t>
      </w:r>
      <w:r w:rsidR="00DF6FD5">
        <w:t xml:space="preserve"> </w:t>
      </w:r>
    </w:p>
    <w:p w14:paraId="6CE3B555" w14:textId="572E4959" w:rsidR="001A169D" w:rsidRDefault="001A169D" w:rsidP="001A169D">
      <w:r>
        <w:t>PED document has CON-003, which restricts development to exactly three development members and explicitly requires the scope and division of work to remain realistic for that team. This architecture would provide the team of this size with logical modularity without forcing distributed-system operations onto the project.</w:t>
      </w:r>
    </w:p>
    <w:p w14:paraId="25C0B88B" w14:textId="67043AB1" w:rsidR="001A169D" w:rsidRDefault="001A169D" w:rsidP="001A169D">
      <w:pPr>
        <w:pStyle w:val="Heading5"/>
        <w:numPr>
          <w:ilvl w:val="0"/>
          <w:numId w:val="1"/>
        </w:numPr>
      </w:pPr>
      <w:r>
        <w:t xml:space="preserve">Deployment </w:t>
      </w:r>
    </w:p>
    <w:p w14:paraId="6A41E070" w14:textId="0488C0EB" w:rsidR="001A169D" w:rsidRDefault="00CD30F1" w:rsidP="0018282D">
      <w:r>
        <w:t>SEN Greats report (Assignment 2) defines an in-process approach as components running in the same application and being built and deployed together as one unit.</w:t>
      </w:r>
      <w:r w:rsidR="0018282D">
        <w:t xml:space="preserve"> Constraint CON-004 in the PED document outlines that free or low-cost development, hosting, and supporting services should be preferred where practical.</w:t>
      </w:r>
    </w:p>
    <w:p w14:paraId="0D5D992B" w14:textId="3FB78A0D" w:rsidR="0018282D" w:rsidRDefault="0018282D" w:rsidP="0018282D">
      <w:r>
        <w:t>A trade-off that might be experienced with a single deployment unit is that a change to one component means redeploying the entire application.</w:t>
      </w:r>
    </w:p>
    <w:p w14:paraId="7F37EE8F" w14:textId="1F3696CB" w:rsidR="0018282D" w:rsidRDefault="0018282D" w:rsidP="0018282D">
      <w:pPr>
        <w:pStyle w:val="Heading5"/>
        <w:numPr>
          <w:ilvl w:val="0"/>
          <w:numId w:val="1"/>
        </w:numPr>
      </w:pPr>
      <w:r>
        <w:t>Complexity</w:t>
      </w:r>
    </w:p>
    <w:p w14:paraId="0C43B86D" w14:textId="6E3C0C02" w:rsidR="0018282D" w:rsidRDefault="00286F34" w:rsidP="0018282D">
      <w:r>
        <w:t xml:space="preserve">NFR-010, documented in the PED, explicitly states that the system should remain modular and allow one area to change without unnecessary changes to unrelated areas. </w:t>
      </w:r>
      <w:proofErr w:type="spellStart"/>
      <w:r>
        <w:t>Hermanova</w:t>
      </w:r>
      <w:proofErr w:type="spellEnd"/>
      <w:r>
        <w:t xml:space="preserve"> (2024) mentions in their report that one purpose of software architecture is controlling and mitigating conceptual complexity and specifically identifies layered architecture as increasing maintainability, security, and flexibility.</w:t>
      </w:r>
    </w:p>
    <w:p w14:paraId="7AC3ABDE" w14:textId="0A95FFF8" w:rsidR="007B4908" w:rsidRDefault="00286F34" w:rsidP="0018282D">
      <w:r>
        <w:t xml:space="preserve">However, a monolith presents a risk of the system being tightly coupled. The research done by the team (Assignment 2) documents </w:t>
      </w:r>
      <w:r w:rsidR="0060171E">
        <w:t>tight coupling as one of the design risks; hence DIP was recommended as a design strategy</w:t>
      </w:r>
      <w:r w:rsidR="00E80318">
        <w:t xml:space="preserve">. </w:t>
      </w:r>
    </w:p>
    <w:p w14:paraId="7C524949" w14:textId="3B94CFEC" w:rsidR="00DC47B8" w:rsidRDefault="00DC47B8" w:rsidP="00DC47B8">
      <w:pPr>
        <w:pStyle w:val="Heading2"/>
      </w:pPr>
      <w:r>
        <w:t>Modular Monolith</w:t>
      </w:r>
    </w:p>
    <w:p w14:paraId="56F961E1" w14:textId="2AD32A04" w:rsidR="001022DD" w:rsidRDefault="00CB56B3" w:rsidP="001022DD">
      <w:r>
        <w:t xml:space="preserve">Described as a software architecture that combines the benefits of modular design with the simplicity of a monolithic architecture, Modular monolith architecture involves dividing the system into a set of loosely coupled modules </w:t>
      </w:r>
      <w:sdt>
        <w:sdtPr>
          <w:id w:val="-965189016"/>
          <w:citation/>
        </w:sdtPr>
        <w:sdtEndPr/>
        <w:sdtContent>
          <w:r>
            <w:fldChar w:fldCharType="begin"/>
          </w:r>
          <w:r>
            <w:instrText xml:space="preserve"> CITATION Ozk23 \l 7177 </w:instrText>
          </w:r>
          <w:r>
            <w:fldChar w:fldCharType="separate"/>
          </w:r>
          <w:r w:rsidR="00F00B5E" w:rsidRPr="00F00B5E">
            <w:rPr>
              <w:noProof/>
            </w:rPr>
            <w:t>(Ozkaya, 2023)</w:t>
          </w:r>
          <w:r>
            <w:fldChar w:fldCharType="end"/>
          </w:r>
        </w:sdtContent>
      </w:sdt>
      <w:r>
        <w:t xml:space="preserve">. </w:t>
      </w:r>
    </w:p>
    <w:p w14:paraId="0C4CAC92" w14:textId="2C6B8914" w:rsidR="00CB56B3" w:rsidRDefault="00CB56B3" w:rsidP="001022DD">
      <w:r>
        <w:t xml:space="preserve">The main benefit of such an architecture is the business </w:t>
      </w:r>
      <w:r w:rsidR="00456A7E">
        <w:t>logic is</w:t>
      </w:r>
      <w:r>
        <w:t xml:space="preserve"> encapsulated in Modules, thus increasing reusability while data remains </w:t>
      </w:r>
      <w:r w:rsidR="00456A7E">
        <w:t xml:space="preserve">consistent and communication patterns simple </w:t>
      </w:r>
      <w:sdt>
        <w:sdtPr>
          <w:id w:val="-1240705819"/>
          <w:citation/>
        </w:sdtPr>
        <w:sdtEndPr/>
        <w:sdtContent>
          <w:r w:rsidR="00456A7E">
            <w:fldChar w:fldCharType="begin"/>
          </w:r>
          <w:r w:rsidR="00456A7E">
            <w:instrText xml:space="preserve"> CITATION Ozk23 \l 7177 </w:instrText>
          </w:r>
          <w:r w:rsidR="00456A7E">
            <w:fldChar w:fldCharType="separate"/>
          </w:r>
          <w:r w:rsidR="00F00B5E" w:rsidRPr="00F00B5E">
            <w:rPr>
              <w:noProof/>
            </w:rPr>
            <w:t>(Ozkaya, 2023)</w:t>
          </w:r>
          <w:r w:rsidR="00456A7E">
            <w:fldChar w:fldCharType="end"/>
          </w:r>
        </w:sdtContent>
      </w:sdt>
      <w:r w:rsidR="00456A7E">
        <w:t xml:space="preserve">. </w:t>
      </w:r>
    </w:p>
    <w:p w14:paraId="62DC969B" w14:textId="49562826" w:rsidR="00456A7E" w:rsidRDefault="00456A7E" w:rsidP="00456A7E">
      <w:pPr>
        <w:pStyle w:val="Heading5"/>
        <w:numPr>
          <w:ilvl w:val="0"/>
          <w:numId w:val="2"/>
        </w:numPr>
      </w:pPr>
      <w:r>
        <w:t>Team Capability</w:t>
      </w:r>
    </w:p>
    <w:p w14:paraId="094F0AF5" w14:textId="1CE811B7" w:rsidR="00456A7E" w:rsidRDefault="007B4908" w:rsidP="00456A7E">
      <w:r>
        <w:t xml:space="preserve">Considering Constraint CON-003, the team caps at exactly three students with individually evidenced contribution, and constraint CON-007 requires any architecture choice to be justified against “the actual capability of the team </w:t>
      </w:r>
      <w:proofErr w:type="gramStart"/>
      <w:r>
        <w:t>“ (</w:t>
      </w:r>
      <w:proofErr w:type="gramEnd"/>
      <w:r>
        <w:t xml:space="preserve">PED v1, Constraint Register). Comparing a modular monolith with an architecture like microservices, </w:t>
      </w:r>
      <w:proofErr w:type="spellStart"/>
      <w:r>
        <w:t>Milić</w:t>
      </w:r>
      <w:proofErr w:type="spellEnd"/>
      <w:r>
        <w:t xml:space="preserve"> &amp; </w:t>
      </w:r>
      <w:proofErr w:type="spellStart"/>
      <w:r>
        <w:t>Makajić-Nikolić</w:t>
      </w:r>
      <w:proofErr w:type="spellEnd"/>
      <w:r>
        <w:t xml:space="preserve"> (2022) show that a monolith requires managing fewer moving parts per feature than microservices- for example, one Amazon Web Services (AWS) instance, one deployment pipeline, and constant security/deployment-profile counts regardless of how many features are added, versus these growing linearly with each additional microservice.</w:t>
      </w:r>
    </w:p>
    <w:p w14:paraId="0DFC5DAB" w14:textId="25D92B56" w:rsidR="007B4908" w:rsidRDefault="00335D1D" w:rsidP="00335D1D">
      <w:pPr>
        <w:pStyle w:val="Heading3"/>
        <w:numPr>
          <w:ilvl w:val="0"/>
          <w:numId w:val="2"/>
        </w:numPr>
      </w:pPr>
      <w:r>
        <w:t>Deployment</w:t>
      </w:r>
    </w:p>
    <w:p w14:paraId="176038A5" w14:textId="6BDCCF62" w:rsidR="00335D1D" w:rsidRPr="00335D1D" w:rsidRDefault="00335D1D" w:rsidP="00335D1D">
      <w:r>
        <w:t xml:space="preserve">Still on the example of an AWS instance, </w:t>
      </w:r>
      <w:proofErr w:type="spellStart"/>
      <w:r>
        <w:t>Milić</w:t>
      </w:r>
      <w:proofErr w:type="spellEnd"/>
      <w:r>
        <w:t xml:space="preserve"> &amp; </w:t>
      </w:r>
      <w:proofErr w:type="spellStart"/>
      <w:r>
        <w:t>Makajić-Nikolić's</w:t>
      </w:r>
      <w:proofErr w:type="spellEnd"/>
      <w:r>
        <w:t xml:space="preserve"> metrics show the monolith needs 1 AWS instance, 1 pipeline, 3 deployment profiles, while microservices scale these k-for-k. Though this section is attributed to architecture and not necessarily deployment or hosting sites, using this example gives the team a real-world analysis and consideration </w:t>
      </w:r>
      <w:r w:rsidR="009428A0">
        <w:t>of</w:t>
      </w:r>
      <w:r>
        <w:t xml:space="preserve"> how a modular monolith </w:t>
      </w:r>
      <w:r w:rsidR="009428A0">
        <w:t>performs</w:t>
      </w:r>
      <w:r>
        <w:t>.</w:t>
      </w:r>
    </w:p>
    <w:p w14:paraId="0C3DE12E" w14:textId="6FEF2A51" w:rsidR="00335D1D" w:rsidRDefault="00335D1D" w:rsidP="00335D1D">
      <w:r w:rsidRPr="00335D1D">
        <w:rPr>
          <w:noProof/>
        </w:rPr>
        <w:drawing>
          <wp:inline distT="0" distB="0" distL="0" distR="0" wp14:anchorId="6CB37192" wp14:editId="61381622">
            <wp:extent cx="3494915" cy="239602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20284" cy="2413418"/>
                    </a:xfrm>
                    <a:prstGeom prst="rect">
                      <a:avLst/>
                    </a:prstGeom>
                  </pic:spPr>
                </pic:pic>
              </a:graphicData>
            </a:graphic>
          </wp:inline>
        </w:drawing>
      </w:r>
    </w:p>
    <w:p w14:paraId="42A6CFA5" w14:textId="143F3181" w:rsidR="00335D1D" w:rsidRDefault="009428A0" w:rsidP="00335D1D">
      <w:pPr>
        <w:rPr>
          <w:i/>
          <w:sz w:val="16"/>
        </w:rPr>
      </w:pPr>
      <w:r>
        <w:rPr>
          <w:i/>
          <w:sz w:val="16"/>
        </w:rPr>
        <w:t xml:space="preserve">Source: </w:t>
      </w:r>
      <w:proofErr w:type="spellStart"/>
      <w:r w:rsidRPr="009428A0">
        <w:rPr>
          <w:i/>
          <w:sz w:val="16"/>
        </w:rPr>
        <w:t>Milić</w:t>
      </w:r>
      <w:proofErr w:type="spellEnd"/>
      <w:r w:rsidRPr="009428A0">
        <w:rPr>
          <w:i/>
          <w:sz w:val="16"/>
        </w:rPr>
        <w:t xml:space="preserve"> &amp; </w:t>
      </w:r>
      <w:proofErr w:type="spellStart"/>
      <w:r w:rsidRPr="009428A0">
        <w:rPr>
          <w:i/>
          <w:sz w:val="16"/>
        </w:rPr>
        <w:t>Makajić-Nikolić</w:t>
      </w:r>
      <w:proofErr w:type="spellEnd"/>
      <w:r>
        <w:rPr>
          <w:i/>
          <w:sz w:val="16"/>
        </w:rPr>
        <w:t xml:space="preserve"> (2022)</w:t>
      </w:r>
    </w:p>
    <w:p w14:paraId="575AD869" w14:textId="252D601C" w:rsidR="009428A0" w:rsidRDefault="009428A0" w:rsidP="009428A0">
      <w:pPr>
        <w:pStyle w:val="Heading5"/>
        <w:numPr>
          <w:ilvl w:val="0"/>
          <w:numId w:val="2"/>
        </w:numPr>
      </w:pPr>
      <w:r>
        <w:t>Complexity</w:t>
      </w:r>
    </w:p>
    <w:p w14:paraId="78BBB4D1" w14:textId="3789715C" w:rsidR="00CC58FC" w:rsidRDefault="009428A0" w:rsidP="009428A0">
      <w:r>
        <w:t xml:space="preserve">Both reports from </w:t>
      </w:r>
      <w:proofErr w:type="spellStart"/>
      <w:r>
        <w:t>Huseynli</w:t>
      </w:r>
      <w:proofErr w:type="spellEnd"/>
      <w:r>
        <w:t xml:space="preserve"> (2026) and </w:t>
      </w:r>
      <w:proofErr w:type="spellStart"/>
      <w:r>
        <w:t>Milić</w:t>
      </w:r>
      <w:proofErr w:type="spellEnd"/>
      <w:r>
        <w:t xml:space="preserve"> &amp; </w:t>
      </w:r>
      <w:proofErr w:type="spellStart"/>
      <w:r>
        <w:t>Makajić-Nikolić</w:t>
      </w:r>
      <w:proofErr w:type="spellEnd"/>
      <w:r>
        <w:t xml:space="preserve"> (2022) agree that </w:t>
      </w:r>
      <w:r w:rsidR="00186403">
        <w:t xml:space="preserve">a </w:t>
      </w:r>
      <w:r>
        <w:t xml:space="preserve">modular monolith trades distributed-systems complexity (network faults, eventual consistency, service-boundary erosion) for internal complexity (enforcing module encapsulation within one codebase). </w:t>
      </w:r>
      <w:r w:rsidR="00186403">
        <w:t xml:space="preserve">For </w:t>
      </w:r>
      <w:proofErr w:type="spellStart"/>
      <w:r w:rsidR="00186403">
        <w:t>CvicConnect’s</w:t>
      </w:r>
      <w:proofErr w:type="spellEnd"/>
      <w:r w:rsidR="00186403">
        <w:t xml:space="preserve"> notification interaction, a network boundary, new failure modes, and new attack surface aren’t justified, and the team lacks message-broker infrastructure, something modular monolith architecture solves.</w:t>
      </w:r>
    </w:p>
    <w:p w14:paraId="0252AAEA" w14:textId="20ABD3E3" w:rsidR="00CC58FC" w:rsidRDefault="001E2A41" w:rsidP="001E2A41">
      <w:pPr>
        <w:pStyle w:val="Heading2"/>
      </w:pPr>
      <w:r>
        <w:t>Microservices Architecture</w:t>
      </w:r>
    </w:p>
    <w:p w14:paraId="7AEC7424" w14:textId="599E1714" w:rsidR="001E2A41" w:rsidRDefault="001E2A41" w:rsidP="001E2A41">
      <w:pPr>
        <w:pStyle w:val="Heading5"/>
        <w:numPr>
          <w:ilvl w:val="0"/>
          <w:numId w:val="3"/>
        </w:numPr>
      </w:pPr>
      <w:r>
        <w:t>Team Capability</w:t>
      </w:r>
    </w:p>
    <w:p w14:paraId="051D1594" w14:textId="3D2D85AF" w:rsidR="00DD55A5" w:rsidRDefault="001E2A41" w:rsidP="001E2A41">
      <w:proofErr w:type="spellStart"/>
      <w:r>
        <w:t>TaeiZadeh</w:t>
      </w:r>
      <w:proofErr w:type="spellEnd"/>
      <w:r>
        <w:t xml:space="preserve">, </w:t>
      </w:r>
      <w:proofErr w:type="spellStart"/>
      <w:r>
        <w:t>Lotfi</w:t>
      </w:r>
      <w:proofErr w:type="spellEnd"/>
      <w:r>
        <w:t xml:space="preserve"> &amp; Ramadhan's (2024</w:t>
      </w:r>
      <w:proofErr w:type="gramStart"/>
      <w:r>
        <w:t>)  DevOps</w:t>
      </w:r>
      <w:proofErr w:type="gramEnd"/>
      <w:r>
        <w:t xml:space="preserve"> case study reinforces that successful Microservices architecture depends on changing the team culture</w:t>
      </w:r>
      <w:r w:rsidR="00DD55A5">
        <w:t>,</w:t>
      </w:r>
      <w:r>
        <w:t xml:space="preserve"> fostering collaboration between team </w:t>
      </w:r>
      <w:r w:rsidR="00DD55A5">
        <w:t>members</w:t>
      </w:r>
      <w:r>
        <w:t xml:space="preserve">, requires the team to become </w:t>
      </w:r>
      <w:r w:rsidR="00DD55A5">
        <w:t>cross-functional</w:t>
      </w:r>
      <w:r>
        <w:t xml:space="preserve"> and </w:t>
      </w:r>
      <w:r w:rsidR="00DD55A5">
        <w:t>multitask</w:t>
      </w:r>
      <w:r>
        <w:t xml:space="preserve">, and relies on DevOps team maturity as a selection </w:t>
      </w:r>
      <w:r w:rsidR="00DD55A5">
        <w:t xml:space="preserve">criterion.  This architecture is a poor fit because constraint CON-003 limits team member size to 3, and CON-007 requires justification against the actual capability of the team. </w:t>
      </w:r>
    </w:p>
    <w:p w14:paraId="6E75468B" w14:textId="166E701B" w:rsidR="00DD55A5" w:rsidRDefault="00DD55A5" w:rsidP="001E2A41">
      <w:proofErr w:type="spellStart"/>
      <w:r>
        <w:t>TaeiZadeh</w:t>
      </w:r>
      <w:proofErr w:type="spellEnd"/>
      <w:r>
        <w:t xml:space="preserve"> et al.'s own migration case still needed a large technical team plus a dedicated DevOps team with demonstrated maturity. </w:t>
      </w:r>
      <w:proofErr w:type="spellStart"/>
      <w:r>
        <w:t>CvicConnect</w:t>
      </w:r>
      <w:proofErr w:type="spellEnd"/>
      <w:r>
        <w:t xml:space="preserve"> has neither the headcount nor prior DevOps track record this literature treats as a precondition.</w:t>
      </w:r>
    </w:p>
    <w:p w14:paraId="25CF7402" w14:textId="52C4D5D9" w:rsidR="00DD55A5" w:rsidRDefault="00DD55A5" w:rsidP="00DD55A5">
      <w:pPr>
        <w:pStyle w:val="Heading5"/>
        <w:numPr>
          <w:ilvl w:val="0"/>
          <w:numId w:val="3"/>
        </w:numPr>
      </w:pPr>
      <w:r>
        <w:t>Deployment</w:t>
      </w:r>
    </w:p>
    <w:p w14:paraId="644CD2A0" w14:textId="1282ABC5" w:rsidR="00DD55A5" w:rsidRDefault="00DD55A5" w:rsidP="00DD55A5">
      <w:proofErr w:type="spellStart"/>
      <w:r>
        <w:t>Gudelli</w:t>
      </w:r>
      <w:proofErr w:type="spellEnd"/>
      <w:r>
        <w:t xml:space="preserve"> (2022/2026) explains that Continuous Improvement/Continuous Deployment (CI/CD) in microservices are inherently complex due to the need to coordinate deployments across multiple services, each with independent versioning, dependencies, and rollback requirements, requiring contrast testing, feature flagging, canary/b</w:t>
      </w:r>
      <w:r w:rsidR="009546F0">
        <w:t>l</w:t>
      </w:r>
      <w:r>
        <w:t>ue-green rollout, and automated rollback per service</w:t>
      </w:r>
      <w:r w:rsidR="009546F0">
        <w:t xml:space="preserve">- a stark contrast to </w:t>
      </w:r>
      <w:proofErr w:type="spellStart"/>
      <w:r w:rsidR="009546F0">
        <w:t>Milić</w:t>
      </w:r>
      <w:proofErr w:type="spellEnd"/>
      <w:r w:rsidR="009546F0">
        <w:t xml:space="preserve"> &amp; </w:t>
      </w:r>
      <w:proofErr w:type="spellStart"/>
      <w:r w:rsidR="009546F0">
        <w:t>Makajić-Nikolić’s</w:t>
      </w:r>
      <w:proofErr w:type="spellEnd"/>
      <w:r w:rsidR="009546F0">
        <w:t xml:space="preserve"> constant “1 AWS instance/1 pipeline” monolith figures.</w:t>
      </w:r>
    </w:p>
    <w:p w14:paraId="3A046215" w14:textId="123FC62E" w:rsidR="009546F0" w:rsidRDefault="009546F0" w:rsidP="00DD55A5">
      <w:r>
        <w:t xml:space="preserve">This architecture presents as a poor fit, as constraint CON-004 pushes free/low-cost hosting and flags deployment-limitation risk (PED v1, Constraint Interactions). </w:t>
      </w:r>
    </w:p>
    <w:p w14:paraId="33A2982C" w14:textId="411540CA" w:rsidR="009546F0" w:rsidRDefault="009546F0" w:rsidP="009546F0">
      <w:pPr>
        <w:pStyle w:val="Heading5"/>
        <w:numPr>
          <w:ilvl w:val="0"/>
          <w:numId w:val="3"/>
        </w:numPr>
      </w:pPr>
      <w:r>
        <w:t>Complexity</w:t>
      </w:r>
    </w:p>
    <w:p w14:paraId="67635734" w14:textId="4AB3DD90" w:rsidR="009546F0" w:rsidRDefault="009546F0" w:rsidP="009546F0">
      <w:proofErr w:type="spellStart"/>
      <w:r>
        <w:t>TaeiZadeh</w:t>
      </w:r>
      <w:proofErr w:type="spellEnd"/>
      <w:r>
        <w:t xml:space="preserve"> et al. </w:t>
      </w:r>
      <w:r w:rsidR="0090701C">
        <w:t>explain</w:t>
      </w:r>
      <w:r>
        <w:t xml:space="preserve"> that the</w:t>
      </w:r>
      <w:r w:rsidR="0090701C">
        <w:t>re is</w:t>
      </w:r>
      <w:r>
        <w:t xml:space="preserve"> </w:t>
      </w:r>
      <w:r w:rsidR="0090701C">
        <w:t xml:space="preserve">a </w:t>
      </w:r>
      <w:r>
        <w:t>design-time complexity layer</w:t>
      </w:r>
      <w:r w:rsidR="0090701C">
        <w:t>;</w:t>
      </w:r>
      <w:r>
        <w:t xml:space="preserve"> even determining microservice boundaries is “tightly coupled with granularity level”, has “ambiguous” metrics, and </w:t>
      </w:r>
      <w:r w:rsidR="0090701C">
        <w:t xml:space="preserve">requires </w:t>
      </w:r>
      <w:r>
        <w:t>business-process ranking, service-call counts, and data-access-pattern analysis with expert interviews and a DevOps change-log review</w:t>
      </w:r>
      <w:r w:rsidR="0090701C">
        <w:t>.</w:t>
      </w:r>
    </w:p>
    <w:p w14:paraId="7147BD71" w14:textId="02B9D1F1" w:rsidR="0090701C" w:rsidRDefault="0090701C" w:rsidP="009546F0">
      <w:r>
        <w:t xml:space="preserve">Introducing microservice-grade boundary-determination and orchestration complexity now would be exactly the “trend-driven adoption without sufficient contextual justification” both </w:t>
      </w:r>
      <w:proofErr w:type="spellStart"/>
      <w:r>
        <w:t>Husenyli</w:t>
      </w:r>
      <w:proofErr w:type="spellEnd"/>
      <w:r>
        <w:t xml:space="preserve"> and </w:t>
      </w:r>
      <w:proofErr w:type="spellStart"/>
      <w:r>
        <w:t>Gudelli</w:t>
      </w:r>
      <w:proofErr w:type="spellEnd"/>
      <w:r>
        <w:t xml:space="preserve"> warn against. </w:t>
      </w:r>
      <w:proofErr w:type="spellStart"/>
      <w:r>
        <w:t>CvicConnect</w:t>
      </w:r>
      <w:proofErr w:type="spellEnd"/>
      <w:r>
        <w:t xml:space="preserve"> has no equivalent evidenced load; PED v1 explicitly treats “the expected number of users, requests and stored data” as an open assumption (ASM-007) still to be established, not a known scale driver.</w:t>
      </w:r>
    </w:p>
    <w:p w14:paraId="2DB7CD3D" w14:textId="2F76B653" w:rsidR="00E80318" w:rsidRDefault="007E2610" w:rsidP="007E2610">
      <w:pPr>
        <w:pStyle w:val="Heading5"/>
      </w:pPr>
      <w:r>
        <w:t>Recommendation</w:t>
      </w:r>
    </w:p>
    <w:p w14:paraId="0405D283" w14:textId="77777777" w:rsidR="00467404" w:rsidRPr="00467404" w:rsidRDefault="00467404" w:rsidP="00467404">
      <w:r w:rsidRPr="00467404">
        <w:t xml:space="preserve">Therefore, </w:t>
      </w:r>
      <w:proofErr w:type="spellStart"/>
      <w:r w:rsidRPr="00467404">
        <w:rPr>
          <w:b/>
          <w:bCs/>
        </w:rPr>
        <w:t>CivicConnect</w:t>
      </w:r>
      <w:proofErr w:type="spellEnd"/>
      <w:r w:rsidRPr="00467404">
        <w:rPr>
          <w:b/>
          <w:bCs/>
        </w:rPr>
        <w:t xml:space="preserve"> should adopt a Modular Monolith Architecture</w:t>
      </w:r>
      <w:r w:rsidRPr="00467404">
        <w:t>. It provides:</w:t>
      </w:r>
    </w:p>
    <w:p w14:paraId="6E69AD86" w14:textId="77777777" w:rsidR="00467404" w:rsidRPr="00467404" w:rsidRDefault="00467404" w:rsidP="00467404">
      <w:pPr>
        <w:numPr>
          <w:ilvl w:val="0"/>
          <w:numId w:val="5"/>
        </w:numPr>
      </w:pPr>
      <w:r w:rsidRPr="00467404">
        <w:rPr>
          <w:b/>
          <w:bCs/>
        </w:rPr>
        <w:t>Modularity</w:t>
      </w:r>
      <w:r w:rsidRPr="00467404">
        <w:t>, supporting NFR-010 and allowing functionality to be separated into clear business-focused modules.</w:t>
      </w:r>
    </w:p>
    <w:p w14:paraId="6732E7E3" w14:textId="77777777" w:rsidR="00467404" w:rsidRPr="00467404" w:rsidRDefault="00467404" w:rsidP="00467404">
      <w:pPr>
        <w:numPr>
          <w:ilvl w:val="0"/>
          <w:numId w:val="5"/>
        </w:numPr>
      </w:pPr>
      <w:r w:rsidRPr="00467404">
        <w:rPr>
          <w:b/>
          <w:bCs/>
        </w:rPr>
        <w:t>Manageable complexity</w:t>
      </w:r>
      <w:r w:rsidRPr="00467404">
        <w:t>, appropriate for the three-member team specified by CON-003 and CON-007.</w:t>
      </w:r>
    </w:p>
    <w:p w14:paraId="26F6D332" w14:textId="77777777" w:rsidR="00467404" w:rsidRPr="00467404" w:rsidRDefault="00467404" w:rsidP="00467404">
      <w:pPr>
        <w:numPr>
          <w:ilvl w:val="0"/>
          <w:numId w:val="5"/>
        </w:numPr>
      </w:pPr>
      <w:r w:rsidRPr="00467404">
        <w:rPr>
          <w:b/>
          <w:bCs/>
        </w:rPr>
        <w:t>Simplified deployment</w:t>
      </w:r>
      <w:r w:rsidRPr="00467404">
        <w:t>, because the modules remain part of one deployable application.</w:t>
      </w:r>
    </w:p>
    <w:p w14:paraId="6610F5EF" w14:textId="77777777" w:rsidR="00467404" w:rsidRPr="00467404" w:rsidRDefault="00467404" w:rsidP="00467404">
      <w:pPr>
        <w:numPr>
          <w:ilvl w:val="0"/>
          <w:numId w:val="5"/>
        </w:numPr>
      </w:pPr>
      <w:r w:rsidRPr="00467404">
        <w:rPr>
          <w:b/>
          <w:bCs/>
        </w:rPr>
        <w:t>Lower infrastructure requirements</w:t>
      </w:r>
      <w:r w:rsidRPr="00467404">
        <w:t>, supporting the free or low-cost preference established by CON-004.</w:t>
      </w:r>
    </w:p>
    <w:p w14:paraId="33B7CAAF" w14:textId="77777777" w:rsidR="00467404" w:rsidRPr="00467404" w:rsidRDefault="00467404" w:rsidP="00467404">
      <w:pPr>
        <w:numPr>
          <w:ilvl w:val="0"/>
          <w:numId w:val="5"/>
        </w:numPr>
      </w:pPr>
      <w:proofErr w:type="gramStart"/>
      <w:r w:rsidRPr="00467404">
        <w:rPr>
          <w:b/>
          <w:bCs/>
        </w:rPr>
        <w:t>Reduced coupling</w:t>
      </w:r>
      <w:r w:rsidRPr="00467404">
        <w:t>,</w:t>
      </w:r>
      <w:proofErr w:type="gramEnd"/>
      <w:r w:rsidRPr="00467404">
        <w:t xml:space="preserve"> provided module boundaries and DIP are consistently enforced.</w:t>
      </w:r>
    </w:p>
    <w:p w14:paraId="2CE774E4" w14:textId="77777777" w:rsidR="00467404" w:rsidRPr="00467404" w:rsidRDefault="00467404" w:rsidP="00467404">
      <w:pPr>
        <w:numPr>
          <w:ilvl w:val="0"/>
          <w:numId w:val="5"/>
        </w:numPr>
      </w:pPr>
      <w:r w:rsidRPr="00467404">
        <w:rPr>
          <w:b/>
          <w:bCs/>
        </w:rPr>
        <w:t>A better fit for the currently evidenced scale</w:t>
      </w:r>
      <w:r w:rsidRPr="00467404">
        <w:t>, si</w:t>
      </w:r>
      <w:bookmarkStart w:id="1" w:name="_GoBack"/>
      <w:bookmarkEnd w:id="1"/>
      <w:r w:rsidRPr="00467404">
        <w:t>nce ASM-007 does not yet establish demand that would justify microservices.</w:t>
      </w:r>
    </w:p>
    <w:p w14:paraId="467C1616" w14:textId="77777777" w:rsidR="00467404" w:rsidRPr="00467404" w:rsidRDefault="00467404" w:rsidP="00467404">
      <w:r w:rsidRPr="00467404">
        <w:t xml:space="preserve">Overall, the </w:t>
      </w:r>
      <w:r w:rsidRPr="00467404">
        <w:rPr>
          <w:b/>
          <w:bCs/>
        </w:rPr>
        <w:t xml:space="preserve">modular monolith offers the strongest alignment between </w:t>
      </w:r>
      <w:proofErr w:type="spellStart"/>
      <w:r w:rsidRPr="00467404">
        <w:rPr>
          <w:b/>
          <w:bCs/>
        </w:rPr>
        <w:t>CivicConnect's</w:t>
      </w:r>
      <w:proofErr w:type="spellEnd"/>
      <w:r w:rsidRPr="00467404">
        <w:rPr>
          <w:b/>
          <w:bCs/>
        </w:rPr>
        <w:t xml:space="preserve"> architectural quality requirements and its practical project constraints</w:t>
      </w:r>
      <w:r w:rsidRPr="00467404">
        <w:t xml:space="preserve">. It retains the simplicity and cost advantages of monolithic deployment while addressing one of the principal weaknesses of a traditional monolith through explicit modular boundaries. The recommendation therefore represents a </w:t>
      </w:r>
      <w:r w:rsidRPr="00467404">
        <w:rPr>
          <w:b/>
          <w:bCs/>
        </w:rPr>
        <w:t>context-driven architectural decision rather than adopting microservices primarily because of industry trends</w:t>
      </w:r>
      <w:r w:rsidRPr="00467404">
        <w:t>.</w:t>
      </w:r>
    </w:p>
    <w:p w14:paraId="783D58C7" w14:textId="77777777" w:rsidR="007E2610" w:rsidRPr="007E2610" w:rsidRDefault="007E2610" w:rsidP="007E2610"/>
    <w:p w14:paraId="3E72FA2E" w14:textId="5BF47B45" w:rsidR="00E80318" w:rsidRDefault="00E80318" w:rsidP="009546F0"/>
    <w:p w14:paraId="4D29E79F" w14:textId="5BA7ABA2" w:rsidR="00E80318" w:rsidRDefault="00E80318" w:rsidP="009546F0"/>
    <w:p w14:paraId="4A703CC5" w14:textId="4ED82004" w:rsidR="00E80318" w:rsidRDefault="00E80318" w:rsidP="009546F0"/>
    <w:p w14:paraId="54511A1C" w14:textId="46638A26" w:rsidR="00E80318" w:rsidRDefault="00E80318" w:rsidP="009546F0"/>
    <w:p w14:paraId="73B7B5CF" w14:textId="69C6B684" w:rsidR="00E80318" w:rsidRDefault="00E80318" w:rsidP="009546F0"/>
    <w:p w14:paraId="0754CA96" w14:textId="5AEC8DCB" w:rsidR="00E80318" w:rsidRDefault="00E80318" w:rsidP="009546F0"/>
    <w:p w14:paraId="40089284" w14:textId="23E9AFC4" w:rsidR="00E80318" w:rsidRDefault="00E80318" w:rsidP="009546F0"/>
    <w:p w14:paraId="5708B590" w14:textId="536922A7" w:rsidR="00E80318" w:rsidRDefault="00E80318" w:rsidP="009546F0"/>
    <w:p w14:paraId="03633E7B" w14:textId="1160B80C" w:rsidR="00F00B5E" w:rsidRDefault="00F00B5E" w:rsidP="009546F0"/>
    <w:p w14:paraId="46816326" w14:textId="6CC58AE2" w:rsidR="00F00B5E" w:rsidRDefault="00F00B5E" w:rsidP="009546F0"/>
    <w:p w14:paraId="716DF762" w14:textId="22B87166" w:rsidR="00F00B5E" w:rsidRDefault="00F00B5E" w:rsidP="009546F0"/>
    <w:p w14:paraId="18E32734" w14:textId="5D63C4DD" w:rsidR="00F00B5E" w:rsidRDefault="00F00B5E" w:rsidP="009546F0"/>
    <w:p w14:paraId="57843D5B" w14:textId="77777777" w:rsidR="00F00B5E" w:rsidRDefault="00F00B5E" w:rsidP="009546F0"/>
    <w:p w14:paraId="3908F31F" w14:textId="2763C009" w:rsidR="00E80318" w:rsidRDefault="00E80318" w:rsidP="009546F0"/>
    <w:sdt>
      <w:sdtPr>
        <w:rPr>
          <w:rFonts w:asciiTheme="minorHAnsi" w:eastAsiaTheme="minorHAnsi" w:hAnsiTheme="minorHAnsi" w:cstheme="minorBidi"/>
          <w:color w:val="auto"/>
          <w:sz w:val="22"/>
          <w:szCs w:val="22"/>
        </w:rPr>
        <w:id w:val="1438792203"/>
        <w:docPartObj>
          <w:docPartGallery w:val="Bibliographies"/>
          <w:docPartUnique/>
        </w:docPartObj>
      </w:sdtPr>
      <w:sdtEndPr/>
      <w:sdtContent>
        <w:p w14:paraId="157AE22B" w14:textId="04DCEF9E" w:rsidR="00E80318" w:rsidRDefault="00E80318">
          <w:pPr>
            <w:pStyle w:val="Heading1"/>
          </w:pPr>
          <w:r>
            <w:t>References</w:t>
          </w:r>
        </w:p>
        <w:bookmarkStart w:id="2" w:name="_Hlk241596246" w:displacedByCustomXml="next"/>
        <w:sdt>
          <w:sdtPr>
            <w:id w:val="-573587230"/>
            <w:bibliography/>
          </w:sdtPr>
          <w:sdtEndPr/>
          <w:sdtContent>
            <w:p w14:paraId="497EB3B1" w14:textId="77777777" w:rsidR="00F00B5E" w:rsidRDefault="00E80318" w:rsidP="00F00B5E">
              <w:pPr>
                <w:pStyle w:val="Bibliography"/>
                <w:rPr>
                  <w:noProof/>
                  <w:sz w:val="24"/>
                  <w:szCs w:val="24"/>
                </w:rPr>
              </w:pPr>
              <w:r>
                <w:fldChar w:fldCharType="begin"/>
              </w:r>
              <w:r>
                <w:instrText xml:space="preserve"> BIBLIOGRAPHY </w:instrText>
              </w:r>
              <w:r>
                <w:fldChar w:fldCharType="separate"/>
              </w:r>
              <w:r w:rsidR="00F00B5E">
                <w:rPr>
                  <w:noProof/>
                </w:rPr>
                <w:t xml:space="preserve">Alvares, S., 2025. </w:t>
              </w:r>
              <w:r w:rsidR="00F00B5E">
                <w:rPr>
                  <w:i/>
                  <w:iCs/>
                  <w:noProof/>
                </w:rPr>
                <w:t xml:space="preserve">medium. </w:t>
              </w:r>
              <w:r w:rsidR="00F00B5E">
                <w:rPr>
                  <w:noProof/>
                </w:rPr>
                <w:t xml:space="preserve">[Online] </w:t>
              </w:r>
              <w:r w:rsidR="00F00B5E">
                <w:rPr>
                  <w:noProof/>
                </w:rPr>
                <w:br/>
                <w:t xml:space="preserve">Available at: </w:t>
              </w:r>
              <w:r w:rsidR="00F00B5E">
                <w:rPr>
                  <w:noProof/>
                  <w:u w:val="single"/>
                </w:rPr>
                <w:t>https://medium.com/beyond-the-brackets/the-monolith-layered-architecture-explained-f021568ae96a</w:t>
              </w:r>
              <w:r w:rsidR="00F00B5E">
                <w:rPr>
                  <w:noProof/>
                </w:rPr>
                <w:br/>
                <w:t>[Accessed 24 september 2026].</w:t>
              </w:r>
            </w:p>
            <w:p w14:paraId="1CC06B1D" w14:textId="77777777" w:rsidR="00F00B5E" w:rsidRDefault="00F00B5E" w:rsidP="00F00B5E">
              <w:pPr>
                <w:pStyle w:val="Bibliography"/>
                <w:rPr>
                  <w:noProof/>
                </w:rPr>
              </w:pPr>
              <w:r>
                <w:rPr>
                  <w:noProof/>
                </w:rPr>
                <w:t xml:space="preserve">Gudelli, V. R., 2022. MICROSERVICE ARCHITECTURE: CHALLENGES, SOLUTIONS, AND BEST PRACTICES. </w:t>
              </w:r>
              <w:r>
                <w:rPr>
                  <w:i/>
                  <w:iCs/>
                  <w:noProof/>
                </w:rPr>
                <w:t xml:space="preserve">International Research Journal of Modernization in Engineering Technology and Science , </w:t>
              </w:r>
              <w:r>
                <w:rPr>
                  <w:noProof/>
                </w:rPr>
                <w:t>VIII(7).</w:t>
              </w:r>
            </w:p>
            <w:p w14:paraId="1CD9FAE6" w14:textId="77777777" w:rsidR="00F00B5E" w:rsidRDefault="00F00B5E" w:rsidP="00F00B5E">
              <w:pPr>
                <w:pStyle w:val="Bibliography"/>
                <w:rPr>
                  <w:noProof/>
                </w:rPr>
              </w:pPr>
              <w:r>
                <w:rPr>
                  <w:noProof/>
                </w:rPr>
                <w:t xml:space="preserve">HAJIPOOR, M., MOTAMENI, H. &amp; EBRAHIMNEJAD, A., 2025. A hybrid AHP-DEA approach for software architecture evaluation and selection. </w:t>
              </w:r>
              <w:r>
                <w:rPr>
                  <w:i/>
                  <w:iCs/>
                  <w:noProof/>
                </w:rPr>
                <w:t xml:space="preserve">urkish Journal of Electrical Engineering and Computer Science, </w:t>
              </w:r>
              <w:r>
                <w:rPr>
                  <w:noProof/>
                </w:rPr>
                <w:t>33(3), pp. 5-23.</w:t>
              </w:r>
            </w:p>
            <w:p w14:paraId="717B0858" w14:textId="77777777" w:rsidR="00F00B5E" w:rsidRDefault="00F00B5E" w:rsidP="00F00B5E">
              <w:pPr>
                <w:pStyle w:val="Bibliography"/>
                <w:rPr>
                  <w:noProof/>
                </w:rPr>
              </w:pPr>
              <w:r>
                <w:rPr>
                  <w:noProof/>
                </w:rPr>
                <w:t xml:space="preserve">Hardzeenka, I., n.d. </w:t>
              </w:r>
              <w:r>
                <w:rPr>
                  <w:i/>
                  <w:iCs/>
                  <w:noProof/>
                </w:rPr>
                <w:t xml:space="preserve">software architecture guild. </w:t>
              </w:r>
              <w:r>
                <w:rPr>
                  <w:noProof/>
                </w:rPr>
                <w:t xml:space="preserve">[Online] </w:t>
              </w:r>
              <w:r>
                <w:rPr>
                  <w:noProof/>
                </w:rPr>
                <w:br/>
                <w:t xml:space="preserve">Available at: </w:t>
              </w:r>
              <w:r>
                <w:rPr>
                  <w:noProof/>
                  <w:u w:val="single"/>
                </w:rPr>
                <w:t>https://software-architecture-guild.com/guide/architecture/styles/layered-monolith/</w:t>
              </w:r>
              <w:r>
                <w:rPr>
                  <w:noProof/>
                </w:rPr>
                <w:br/>
                <w:t>[Accessed 24 spetember 2026].</w:t>
              </w:r>
            </w:p>
            <w:p w14:paraId="17FBFA0D" w14:textId="77777777" w:rsidR="00F00B5E" w:rsidRDefault="00F00B5E" w:rsidP="00F00B5E">
              <w:pPr>
                <w:pStyle w:val="Bibliography"/>
                <w:rPr>
                  <w:noProof/>
                </w:rPr>
              </w:pPr>
              <w:r>
                <w:rPr>
                  <w:noProof/>
                </w:rPr>
                <w:t xml:space="preserve">Harikrishnan, J., 2024. </w:t>
              </w:r>
              <w:r>
                <w:rPr>
                  <w:i/>
                  <w:iCs/>
                  <w:noProof/>
                </w:rPr>
                <w:t xml:space="preserve">linkedin. </w:t>
              </w:r>
              <w:r>
                <w:rPr>
                  <w:noProof/>
                </w:rPr>
                <w:t xml:space="preserve">[Online] </w:t>
              </w:r>
              <w:r>
                <w:rPr>
                  <w:noProof/>
                </w:rPr>
                <w:br/>
                <w:t xml:space="preserve">Available at: </w:t>
              </w:r>
              <w:r>
                <w:rPr>
                  <w:noProof/>
                  <w:u w:val="single"/>
                </w:rPr>
                <w:t>https://www.linkedin.com/pulse/architecturally-significant-requirements-asr-solution-harikrishnan-j-wkrsf</w:t>
              </w:r>
              <w:r>
                <w:rPr>
                  <w:noProof/>
                </w:rPr>
                <w:br/>
                <w:t>[Accessed 26 september 2026].</w:t>
              </w:r>
            </w:p>
            <w:p w14:paraId="38B495B9" w14:textId="77777777" w:rsidR="00F00B5E" w:rsidRDefault="00F00B5E" w:rsidP="00F00B5E">
              <w:pPr>
                <w:pStyle w:val="Bibliography"/>
                <w:rPr>
                  <w:noProof/>
                </w:rPr>
              </w:pPr>
              <w:r>
                <w:rPr>
                  <w:noProof/>
                </w:rPr>
                <w:t>Hassouna, A. B., 2025. The Architecture Treadeoff and Risk Analysis Framework (ATRAF): A unified approach for evaluating software architectures, reference architectures, and architectura; frameworks. pp. 1-2.</w:t>
              </w:r>
            </w:p>
            <w:p w14:paraId="02E09B40" w14:textId="77777777" w:rsidR="00F00B5E" w:rsidRDefault="00F00B5E" w:rsidP="00F00B5E">
              <w:pPr>
                <w:pStyle w:val="Bibliography"/>
                <w:rPr>
                  <w:noProof/>
                </w:rPr>
              </w:pPr>
              <w:r>
                <w:rPr>
                  <w:noProof/>
                </w:rPr>
                <w:t xml:space="preserve">HERMANOVÁ, K., 2024. </w:t>
              </w:r>
              <w:r>
                <w:rPr>
                  <w:i/>
                  <w:iCs/>
                  <w:noProof/>
                </w:rPr>
                <w:t xml:space="preserve">Microservices Migration Process to Spring Boot and Quarkus, </w:t>
              </w:r>
              <w:r>
                <w:rPr>
                  <w:noProof/>
                </w:rPr>
                <w:t>Brno: Masaryk University.</w:t>
              </w:r>
            </w:p>
            <w:p w14:paraId="7DB08CD6" w14:textId="77777777" w:rsidR="00F00B5E" w:rsidRDefault="00F00B5E" w:rsidP="00F00B5E">
              <w:pPr>
                <w:pStyle w:val="Bibliography"/>
                <w:rPr>
                  <w:noProof/>
                </w:rPr>
              </w:pPr>
              <w:r>
                <w:rPr>
                  <w:noProof/>
                </w:rPr>
                <w:t xml:space="preserve">Mili´c , M. &amp; Makaji´c-Nikoli´c, D., 2022. Development of a Quality-Based Model for Software Architecture Optimization: A Case Study of Monolith and Microservice Architectures. </w:t>
              </w:r>
              <w:r>
                <w:rPr>
                  <w:i/>
                  <w:iCs/>
                  <w:noProof/>
                </w:rPr>
                <w:t xml:space="preserve">Symmetry, </w:t>
              </w:r>
              <w:r>
                <w:rPr>
                  <w:noProof/>
                </w:rPr>
                <w:t>pp. 1-26.</w:t>
              </w:r>
            </w:p>
            <w:p w14:paraId="7917DC7C" w14:textId="77777777" w:rsidR="00F00B5E" w:rsidRDefault="00F00B5E" w:rsidP="00F00B5E">
              <w:pPr>
                <w:pStyle w:val="Bibliography"/>
                <w:rPr>
                  <w:noProof/>
                </w:rPr>
              </w:pPr>
              <w:r>
                <w:rPr>
                  <w:noProof/>
                </w:rPr>
                <w:t xml:space="preserve">Ozkaya, M., 2023. </w:t>
              </w:r>
              <w:r>
                <w:rPr>
                  <w:i/>
                  <w:iCs/>
                  <w:noProof/>
                </w:rPr>
                <w:t xml:space="preserve">medium. </w:t>
              </w:r>
              <w:r>
                <w:rPr>
                  <w:noProof/>
                </w:rPr>
                <w:t xml:space="preserve">[Online] </w:t>
              </w:r>
              <w:r>
                <w:rPr>
                  <w:noProof/>
                </w:rPr>
                <w:br/>
                <w:t xml:space="preserve">Available at: </w:t>
              </w:r>
              <w:r>
                <w:rPr>
                  <w:noProof/>
                  <w:u w:val="single"/>
                </w:rPr>
                <w:t>https://medium.com/design-microservices-architecture-with-patterns/microservices-killer-modular-monolithic-architecture-ac83814f6862</w:t>
              </w:r>
              <w:r>
                <w:rPr>
                  <w:noProof/>
                </w:rPr>
                <w:br/>
                <w:t>[Accessed 25 september 2026].</w:t>
              </w:r>
            </w:p>
            <w:p w14:paraId="237283CC" w14:textId="77777777" w:rsidR="00F00B5E" w:rsidRDefault="00F00B5E" w:rsidP="00F00B5E">
              <w:pPr>
                <w:pStyle w:val="Bibliography"/>
                <w:rPr>
                  <w:noProof/>
                </w:rPr>
              </w:pPr>
              <w:r>
                <w:rPr>
                  <w:noProof/>
                </w:rPr>
                <w:t xml:space="preserve">TaeiZadeh1, A., Lotfi2, Z. &amp; Ramadhan1, A., 2024. Microservices Boundary Determination Migration in DevOps: a Case Study. </w:t>
              </w:r>
              <w:r>
                <w:rPr>
                  <w:i/>
                  <w:iCs/>
                  <w:noProof/>
                </w:rPr>
                <w:t xml:space="preserve">BIO Web of Conferences, </w:t>
              </w:r>
              <w:r>
                <w:rPr>
                  <w:noProof/>
                </w:rPr>
                <w:t>Volume 97, pp. 1-20.</w:t>
              </w:r>
            </w:p>
            <w:p w14:paraId="2643494A" w14:textId="0BD62B81" w:rsidR="00E80318" w:rsidRDefault="00E80318" w:rsidP="00F00B5E">
              <w:r>
                <w:rPr>
                  <w:b/>
                  <w:bCs/>
                  <w:noProof/>
                </w:rPr>
                <w:fldChar w:fldCharType="end"/>
              </w:r>
              <w:proofErr w:type="spellStart"/>
              <w:r>
                <w:t>Vilakazi</w:t>
              </w:r>
              <w:proofErr w:type="spellEnd"/>
              <w:r>
                <w:t xml:space="preserve">, O., Ince, L.A. and Phahladira, T. (2026) </w:t>
              </w:r>
              <w:proofErr w:type="spellStart"/>
              <w:r>
                <w:rPr>
                  <w:rStyle w:val="Emphasis"/>
                </w:rPr>
                <w:t>CivicConnect</w:t>
              </w:r>
              <w:proofErr w:type="spellEnd"/>
              <w:r>
                <w:rPr>
                  <w:rStyle w:val="Emphasis"/>
                </w:rPr>
                <w:t>: Research-Informed Software Engineering Decisions</w:t>
              </w:r>
              <w:r>
                <w:t xml:space="preserve">. Unpublished assignment, SEN381 Assignment 2, Belgium Campus </w:t>
              </w:r>
              <w:proofErr w:type="spellStart"/>
              <w:r>
                <w:t>ITversity</w:t>
              </w:r>
              <w:proofErr w:type="spellEnd"/>
              <w:r>
                <w:t>.</w:t>
              </w:r>
            </w:p>
          </w:sdtContent>
        </w:sdt>
      </w:sdtContent>
    </w:sdt>
    <w:bookmarkEnd w:id="2" w:displacedByCustomXml="prev"/>
    <w:p w14:paraId="38CACF98" w14:textId="77777777" w:rsidR="00E80318" w:rsidRPr="009546F0" w:rsidRDefault="00E80318" w:rsidP="009546F0"/>
    <w:sectPr w:rsidR="00E80318" w:rsidRPr="009546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F2FD2"/>
    <w:multiLevelType w:val="hybridMultilevel"/>
    <w:tmpl w:val="DA1873D8"/>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B3E0916"/>
    <w:multiLevelType w:val="multilevel"/>
    <w:tmpl w:val="A988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13156"/>
    <w:multiLevelType w:val="hybridMultilevel"/>
    <w:tmpl w:val="C576B1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3F76CB3"/>
    <w:multiLevelType w:val="hybridMultilevel"/>
    <w:tmpl w:val="C0364DD8"/>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DC6482F"/>
    <w:multiLevelType w:val="hybridMultilevel"/>
    <w:tmpl w:val="35E288A6"/>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0D4"/>
    <w:rsid w:val="000104FD"/>
    <w:rsid w:val="0009638E"/>
    <w:rsid w:val="001022DD"/>
    <w:rsid w:val="0018282D"/>
    <w:rsid w:val="00186403"/>
    <w:rsid w:val="001A169D"/>
    <w:rsid w:val="001E2A41"/>
    <w:rsid w:val="00211406"/>
    <w:rsid w:val="00286F34"/>
    <w:rsid w:val="00335D1D"/>
    <w:rsid w:val="004460D4"/>
    <w:rsid w:val="00456A7E"/>
    <w:rsid w:val="00467404"/>
    <w:rsid w:val="004C6278"/>
    <w:rsid w:val="00542EA2"/>
    <w:rsid w:val="0060171E"/>
    <w:rsid w:val="00603DBE"/>
    <w:rsid w:val="00663241"/>
    <w:rsid w:val="006B14E5"/>
    <w:rsid w:val="0078752D"/>
    <w:rsid w:val="007B4908"/>
    <w:rsid w:val="007D4F5A"/>
    <w:rsid w:val="007E076A"/>
    <w:rsid w:val="007E2610"/>
    <w:rsid w:val="008A47D5"/>
    <w:rsid w:val="008F5E43"/>
    <w:rsid w:val="0090701C"/>
    <w:rsid w:val="00916E9C"/>
    <w:rsid w:val="00935202"/>
    <w:rsid w:val="009428A0"/>
    <w:rsid w:val="009546F0"/>
    <w:rsid w:val="00BE3BB8"/>
    <w:rsid w:val="00C865EA"/>
    <w:rsid w:val="00CA6859"/>
    <w:rsid w:val="00CB56B3"/>
    <w:rsid w:val="00CC58FC"/>
    <w:rsid w:val="00CD30F1"/>
    <w:rsid w:val="00DC3CE2"/>
    <w:rsid w:val="00DC47B8"/>
    <w:rsid w:val="00DD55A5"/>
    <w:rsid w:val="00DF6FD5"/>
    <w:rsid w:val="00E23AC9"/>
    <w:rsid w:val="00E26555"/>
    <w:rsid w:val="00E80318"/>
    <w:rsid w:val="00F00B5E"/>
    <w:rsid w:val="00F342F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22B1D"/>
  <w15:chartTrackingRefBased/>
  <w15:docId w15:val="{9F20E5DF-FFA8-4E76-AEBC-E1ADA9D72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0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265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6F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A169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A169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0D4"/>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4460D4"/>
    <w:rPr>
      <w:sz w:val="16"/>
      <w:szCs w:val="16"/>
    </w:rPr>
  </w:style>
  <w:style w:type="paragraph" w:styleId="CommentText">
    <w:name w:val="annotation text"/>
    <w:basedOn w:val="Normal"/>
    <w:link w:val="CommentTextChar"/>
    <w:uiPriority w:val="99"/>
    <w:semiHidden/>
    <w:unhideWhenUsed/>
    <w:rsid w:val="004460D4"/>
    <w:pPr>
      <w:spacing w:line="240" w:lineRule="auto"/>
    </w:pPr>
    <w:rPr>
      <w:sz w:val="20"/>
      <w:szCs w:val="20"/>
    </w:rPr>
  </w:style>
  <w:style w:type="character" w:customStyle="1" w:styleId="CommentTextChar">
    <w:name w:val="Comment Text Char"/>
    <w:basedOn w:val="DefaultParagraphFont"/>
    <w:link w:val="CommentText"/>
    <w:uiPriority w:val="99"/>
    <w:semiHidden/>
    <w:rsid w:val="004460D4"/>
    <w:rPr>
      <w:sz w:val="20"/>
      <w:szCs w:val="20"/>
    </w:rPr>
  </w:style>
  <w:style w:type="paragraph" w:styleId="CommentSubject">
    <w:name w:val="annotation subject"/>
    <w:basedOn w:val="CommentText"/>
    <w:next w:val="CommentText"/>
    <w:link w:val="CommentSubjectChar"/>
    <w:uiPriority w:val="99"/>
    <w:semiHidden/>
    <w:unhideWhenUsed/>
    <w:rsid w:val="004460D4"/>
    <w:rPr>
      <w:b/>
      <w:bCs/>
    </w:rPr>
  </w:style>
  <w:style w:type="character" w:customStyle="1" w:styleId="CommentSubjectChar">
    <w:name w:val="Comment Subject Char"/>
    <w:basedOn w:val="CommentTextChar"/>
    <w:link w:val="CommentSubject"/>
    <w:uiPriority w:val="99"/>
    <w:semiHidden/>
    <w:rsid w:val="004460D4"/>
    <w:rPr>
      <w:b/>
      <w:bCs/>
      <w:sz w:val="20"/>
      <w:szCs w:val="20"/>
    </w:rPr>
  </w:style>
  <w:style w:type="paragraph" w:styleId="BalloonText">
    <w:name w:val="Balloon Text"/>
    <w:basedOn w:val="Normal"/>
    <w:link w:val="BalloonTextChar"/>
    <w:uiPriority w:val="99"/>
    <w:semiHidden/>
    <w:unhideWhenUsed/>
    <w:rsid w:val="004460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60D4"/>
    <w:rPr>
      <w:rFonts w:ascii="Segoe UI" w:hAnsi="Segoe UI" w:cs="Segoe UI"/>
      <w:sz w:val="18"/>
      <w:szCs w:val="18"/>
    </w:rPr>
  </w:style>
  <w:style w:type="character" w:customStyle="1" w:styleId="Heading2Char">
    <w:name w:val="Heading 2 Char"/>
    <w:basedOn w:val="DefaultParagraphFont"/>
    <w:link w:val="Heading2"/>
    <w:uiPriority w:val="9"/>
    <w:rsid w:val="00E2655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F6FD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A169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1A169D"/>
    <w:rPr>
      <w:rFonts w:asciiTheme="majorHAnsi" w:eastAsiaTheme="majorEastAsia" w:hAnsiTheme="majorHAnsi" w:cstheme="majorBidi"/>
      <w:color w:val="2F5496" w:themeColor="accent1" w:themeShade="BF"/>
    </w:rPr>
  </w:style>
  <w:style w:type="paragraph" w:styleId="Bibliography">
    <w:name w:val="Bibliography"/>
    <w:basedOn w:val="Normal"/>
    <w:next w:val="Normal"/>
    <w:uiPriority w:val="37"/>
    <w:unhideWhenUsed/>
    <w:rsid w:val="00E80318"/>
  </w:style>
  <w:style w:type="character" w:styleId="Emphasis">
    <w:name w:val="Emphasis"/>
    <w:basedOn w:val="DefaultParagraphFont"/>
    <w:uiPriority w:val="20"/>
    <w:qFormat/>
    <w:rsid w:val="00E80318"/>
    <w:rPr>
      <w:i/>
      <w:iCs/>
    </w:rPr>
  </w:style>
  <w:style w:type="table" w:styleId="TableGrid">
    <w:name w:val="Table Grid"/>
    <w:basedOn w:val="TableNormal"/>
    <w:uiPriority w:val="39"/>
    <w:rsid w:val="00542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35202"/>
    <w:rPr>
      <w:b/>
      <w:bCs/>
    </w:rPr>
  </w:style>
  <w:style w:type="paragraph" w:styleId="ListParagraph">
    <w:name w:val="List Paragraph"/>
    <w:basedOn w:val="Normal"/>
    <w:uiPriority w:val="34"/>
    <w:qFormat/>
    <w:rsid w:val="00603D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185539">
      <w:bodyDiv w:val="1"/>
      <w:marLeft w:val="0"/>
      <w:marRight w:val="0"/>
      <w:marTop w:val="0"/>
      <w:marBottom w:val="0"/>
      <w:divBdr>
        <w:top w:val="none" w:sz="0" w:space="0" w:color="auto"/>
        <w:left w:val="none" w:sz="0" w:space="0" w:color="auto"/>
        <w:bottom w:val="none" w:sz="0" w:space="0" w:color="auto"/>
        <w:right w:val="none" w:sz="0" w:space="0" w:color="auto"/>
      </w:divBdr>
    </w:div>
    <w:div w:id="120809211">
      <w:bodyDiv w:val="1"/>
      <w:marLeft w:val="0"/>
      <w:marRight w:val="0"/>
      <w:marTop w:val="0"/>
      <w:marBottom w:val="0"/>
      <w:divBdr>
        <w:top w:val="none" w:sz="0" w:space="0" w:color="auto"/>
        <w:left w:val="none" w:sz="0" w:space="0" w:color="auto"/>
        <w:bottom w:val="none" w:sz="0" w:space="0" w:color="auto"/>
        <w:right w:val="none" w:sz="0" w:space="0" w:color="auto"/>
      </w:divBdr>
    </w:div>
    <w:div w:id="264314180">
      <w:bodyDiv w:val="1"/>
      <w:marLeft w:val="0"/>
      <w:marRight w:val="0"/>
      <w:marTop w:val="0"/>
      <w:marBottom w:val="0"/>
      <w:divBdr>
        <w:top w:val="none" w:sz="0" w:space="0" w:color="auto"/>
        <w:left w:val="none" w:sz="0" w:space="0" w:color="auto"/>
        <w:bottom w:val="none" w:sz="0" w:space="0" w:color="auto"/>
        <w:right w:val="none" w:sz="0" w:space="0" w:color="auto"/>
      </w:divBdr>
    </w:div>
    <w:div w:id="335765154">
      <w:bodyDiv w:val="1"/>
      <w:marLeft w:val="0"/>
      <w:marRight w:val="0"/>
      <w:marTop w:val="0"/>
      <w:marBottom w:val="0"/>
      <w:divBdr>
        <w:top w:val="none" w:sz="0" w:space="0" w:color="auto"/>
        <w:left w:val="none" w:sz="0" w:space="0" w:color="auto"/>
        <w:bottom w:val="none" w:sz="0" w:space="0" w:color="auto"/>
        <w:right w:val="none" w:sz="0" w:space="0" w:color="auto"/>
      </w:divBdr>
    </w:div>
    <w:div w:id="482887931">
      <w:bodyDiv w:val="1"/>
      <w:marLeft w:val="0"/>
      <w:marRight w:val="0"/>
      <w:marTop w:val="0"/>
      <w:marBottom w:val="0"/>
      <w:divBdr>
        <w:top w:val="none" w:sz="0" w:space="0" w:color="auto"/>
        <w:left w:val="none" w:sz="0" w:space="0" w:color="auto"/>
        <w:bottom w:val="none" w:sz="0" w:space="0" w:color="auto"/>
        <w:right w:val="none" w:sz="0" w:space="0" w:color="auto"/>
      </w:divBdr>
    </w:div>
    <w:div w:id="512695528">
      <w:bodyDiv w:val="1"/>
      <w:marLeft w:val="0"/>
      <w:marRight w:val="0"/>
      <w:marTop w:val="0"/>
      <w:marBottom w:val="0"/>
      <w:divBdr>
        <w:top w:val="none" w:sz="0" w:space="0" w:color="auto"/>
        <w:left w:val="none" w:sz="0" w:space="0" w:color="auto"/>
        <w:bottom w:val="none" w:sz="0" w:space="0" w:color="auto"/>
        <w:right w:val="none" w:sz="0" w:space="0" w:color="auto"/>
      </w:divBdr>
      <w:divsChild>
        <w:div w:id="1790515776">
          <w:marLeft w:val="0"/>
          <w:marRight w:val="0"/>
          <w:marTop w:val="0"/>
          <w:marBottom w:val="0"/>
          <w:divBdr>
            <w:top w:val="none" w:sz="0" w:space="0" w:color="auto"/>
            <w:left w:val="none" w:sz="0" w:space="0" w:color="auto"/>
            <w:bottom w:val="none" w:sz="0" w:space="0" w:color="auto"/>
            <w:right w:val="none" w:sz="0" w:space="0" w:color="auto"/>
          </w:divBdr>
        </w:div>
      </w:divsChild>
    </w:div>
    <w:div w:id="581791925">
      <w:bodyDiv w:val="1"/>
      <w:marLeft w:val="0"/>
      <w:marRight w:val="0"/>
      <w:marTop w:val="0"/>
      <w:marBottom w:val="0"/>
      <w:divBdr>
        <w:top w:val="none" w:sz="0" w:space="0" w:color="auto"/>
        <w:left w:val="none" w:sz="0" w:space="0" w:color="auto"/>
        <w:bottom w:val="none" w:sz="0" w:space="0" w:color="auto"/>
        <w:right w:val="none" w:sz="0" w:space="0" w:color="auto"/>
      </w:divBdr>
    </w:div>
    <w:div w:id="607927142">
      <w:bodyDiv w:val="1"/>
      <w:marLeft w:val="0"/>
      <w:marRight w:val="0"/>
      <w:marTop w:val="0"/>
      <w:marBottom w:val="0"/>
      <w:divBdr>
        <w:top w:val="none" w:sz="0" w:space="0" w:color="auto"/>
        <w:left w:val="none" w:sz="0" w:space="0" w:color="auto"/>
        <w:bottom w:val="none" w:sz="0" w:space="0" w:color="auto"/>
        <w:right w:val="none" w:sz="0" w:space="0" w:color="auto"/>
      </w:divBdr>
    </w:div>
    <w:div w:id="640962260">
      <w:bodyDiv w:val="1"/>
      <w:marLeft w:val="0"/>
      <w:marRight w:val="0"/>
      <w:marTop w:val="0"/>
      <w:marBottom w:val="0"/>
      <w:divBdr>
        <w:top w:val="none" w:sz="0" w:space="0" w:color="auto"/>
        <w:left w:val="none" w:sz="0" w:space="0" w:color="auto"/>
        <w:bottom w:val="none" w:sz="0" w:space="0" w:color="auto"/>
        <w:right w:val="none" w:sz="0" w:space="0" w:color="auto"/>
      </w:divBdr>
    </w:div>
    <w:div w:id="848833319">
      <w:bodyDiv w:val="1"/>
      <w:marLeft w:val="0"/>
      <w:marRight w:val="0"/>
      <w:marTop w:val="0"/>
      <w:marBottom w:val="0"/>
      <w:divBdr>
        <w:top w:val="none" w:sz="0" w:space="0" w:color="auto"/>
        <w:left w:val="none" w:sz="0" w:space="0" w:color="auto"/>
        <w:bottom w:val="none" w:sz="0" w:space="0" w:color="auto"/>
        <w:right w:val="none" w:sz="0" w:space="0" w:color="auto"/>
      </w:divBdr>
    </w:div>
    <w:div w:id="941300531">
      <w:bodyDiv w:val="1"/>
      <w:marLeft w:val="0"/>
      <w:marRight w:val="0"/>
      <w:marTop w:val="0"/>
      <w:marBottom w:val="0"/>
      <w:divBdr>
        <w:top w:val="none" w:sz="0" w:space="0" w:color="auto"/>
        <w:left w:val="none" w:sz="0" w:space="0" w:color="auto"/>
        <w:bottom w:val="none" w:sz="0" w:space="0" w:color="auto"/>
        <w:right w:val="none" w:sz="0" w:space="0" w:color="auto"/>
      </w:divBdr>
    </w:div>
    <w:div w:id="1026371783">
      <w:bodyDiv w:val="1"/>
      <w:marLeft w:val="0"/>
      <w:marRight w:val="0"/>
      <w:marTop w:val="0"/>
      <w:marBottom w:val="0"/>
      <w:divBdr>
        <w:top w:val="none" w:sz="0" w:space="0" w:color="auto"/>
        <w:left w:val="none" w:sz="0" w:space="0" w:color="auto"/>
        <w:bottom w:val="none" w:sz="0" w:space="0" w:color="auto"/>
        <w:right w:val="none" w:sz="0" w:space="0" w:color="auto"/>
      </w:divBdr>
    </w:div>
    <w:div w:id="1079059243">
      <w:bodyDiv w:val="1"/>
      <w:marLeft w:val="0"/>
      <w:marRight w:val="0"/>
      <w:marTop w:val="0"/>
      <w:marBottom w:val="0"/>
      <w:divBdr>
        <w:top w:val="none" w:sz="0" w:space="0" w:color="auto"/>
        <w:left w:val="none" w:sz="0" w:space="0" w:color="auto"/>
        <w:bottom w:val="none" w:sz="0" w:space="0" w:color="auto"/>
        <w:right w:val="none" w:sz="0" w:space="0" w:color="auto"/>
      </w:divBdr>
    </w:div>
    <w:div w:id="1213737448">
      <w:bodyDiv w:val="1"/>
      <w:marLeft w:val="0"/>
      <w:marRight w:val="0"/>
      <w:marTop w:val="0"/>
      <w:marBottom w:val="0"/>
      <w:divBdr>
        <w:top w:val="none" w:sz="0" w:space="0" w:color="auto"/>
        <w:left w:val="none" w:sz="0" w:space="0" w:color="auto"/>
        <w:bottom w:val="none" w:sz="0" w:space="0" w:color="auto"/>
        <w:right w:val="none" w:sz="0" w:space="0" w:color="auto"/>
      </w:divBdr>
    </w:div>
    <w:div w:id="1520662353">
      <w:bodyDiv w:val="1"/>
      <w:marLeft w:val="0"/>
      <w:marRight w:val="0"/>
      <w:marTop w:val="0"/>
      <w:marBottom w:val="0"/>
      <w:divBdr>
        <w:top w:val="none" w:sz="0" w:space="0" w:color="auto"/>
        <w:left w:val="none" w:sz="0" w:space="0" w:color="auto"/>
        <w:bottom w:val="none" w:sz="0" w:space="0" w:color="auto"/>
        <w:right w:val="none" w:sz="0" w:space="0" w:color="auto"/>
      </w:divBdr>
    </w:div>
    <w:div w:id="1560284919">
      <w:bodyDiv w:val="1"/>
      <w:marLeft w:val="0"/>
      <w:marRight w:val="0"/>
      <w:marTop w:val="0"/>
      <w:marBottom w:val="0"/>
      <w:divBdr>
        <w:top w:val="none" w:sz="0" w:space="0" w:color="auto"/>
        <w:left w:val="none" w:sz="0" w:space="0" w:color="auto"/>
        <w:bottom w:val="none" w:sz="0" w:space="0" w:color="auto"/>
        <w:right w:val="none" w:sz="0" w:space="0" w:color="auto"/>
      </w:divBdr>
    </w:div>
    <w:div w:id="1795975156">
      <w:bodyDiv w:val="1"/>
      <w:marLeft w:val="0"/>
      <w:marRight w:val="0"/>
      <w:marTop w:val="0"/>
      <w:marBottom w:val="0"/>
      <w:divBdr>
        <w:top w:val="none" w:sz="0" w:space="0" w:color="auto"/>
        <w:left w:val="none" w:sz="0" w:space="0" w:color="auto"/>
        <w:bottom w:val="none" w:sz="0" w:space="0" w:color="auto"/>
        <w:right w:val="none" w:sz="0" w:space="0" w:color="auto"/>
      </w:divBdr>
    </w:div>
    <w:div w:id="1801456835">
      <w:bodyDiv w:val="1"/>
      <w:marLeft w:val="0"/>
      <w:marRight w:val="0"/>
      <w:marTop w:val="0"/>
      <w:marBottom w:val="0"/>
      <w:divBdr>
        <w:top w:val="none" w:sz="0" w:space="0" w:color="auto"/>
        <w:left w:val="none" w:sz="0" w:space="0" w:color="auto"/>
        <w:bottom w:val="none" w:sz="0" w:space="0" w:color="auto"/>
        <w:right w:val="none" w:sz="0" w:space="0" w:color="auto"/>
      </w:divBdr>
    </w:div>
    <w:div w:id="1877502354">
      <w:bodyDiv w:val="1"/>
      <w:marLeft w:val="0"/>
      <w:marRight w:val="0"/>
      <w:marTop w:val="0"/>
      <w:marBottom w:val="0"/>
      <w:divBdr>
        <w:top w:val="none" w:sz="0" w:space="0" w:color="auto"/>
        <w:left w:val="none" w:sz="0" w:space="0" w:color="auto"/>
        <w:bottom w:val="none" w:sz="0" w:space="0" w:color="auto"/>
        <w:right w:val="none" w:sz="0" w:space="0" w:color="auto"/>
      </w:divBdr>
    </w:div>
    <w:div w:id="1932395852">
      <w:bodyDiv w:val="1"/>
      <w:marLeft w:val="0"/>
      <w:marRight w:val="0"/>
      <w:marTop w:val="0"/>
      <w:marBottom w:val="0"/>
      <w:divBdr>
        <w:top w:val="none" w:sz="0" w:space="0" w:color="auto"/>
        <w:left w:val="none" w:sz="0" w:space="0" w:color="auto"/>
        <w:bottom w:val="none" w:sz="0" w:space="0" w:color="auto"/>
        <w:right w:val="none" w:sz="0" w:space="0" w:color="auto"/>
      </w:divBdr>
    </w:div>
    <w:div w:id="1994797208">
      <w:bodyDiv w:val="1"/>
      <w:marLeft w:val="0"/>
      <w:marRight w:val="0"/>
      <w:marTop w:val="0"/>
      <w:marBottom w:val="0"/>
      <w:divBdr>
        <w:top w:val="none" w:sz="0" w:space="0" w:color="auto"/>
        <w:left w:val="none" w:sz="0" w:space="0" w:color="auto"/>
        <w:bottom w:val="none" w:sz="0" w:space="0" w:color="auto"/>
        <w:right w:val="none" w:sz="0" w:space="0" w:color="auto"/>
      </w:divBdr>
    </w:div>
    <w:div w:id="2120100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Has25</b:Tag>
    <b:SourceType>JournalArticle</b:SourceType>
    <b:Guid>{C9B7CEEF-8A84-4D98-A3CC-C6C6C8828831}</b:Guid>
    <b:Title>The Architecture Treadeoff and Risk Analysis Framework (ATRAF): A unified approach for evaluating software architectures, reference architectures, and architectura; frameworks</b:Title>
    <b:Year>2025</b:Year>
    <b:Pages>1-2</b:Pages>
    <b:Author>
      <b:Author>
        <b:NameList>
          <b:Person>
            <b:Last>Hassouna</b:Last>
            <b:Middle>Ben</b:Middle>
            <b:First>Amine</b:First>
          </b:Person>
        </b:NameList>
      </b:Author>
    </b:Author>
    <b:RefOrder>2</b:RefOrder>
  </b:Source>
  <b:Source>
    <b:Tag>HAJ25</b:Tag>
    <b:SourceType>JournalArticle</b:SourceType>
    <b:Guid>{52E2490F-3189-400D-858D-4FF924154452}</b:Guid>
    <b:Title>A hybrid AHP-DEA approach for software architecture evaluation and selection</b:Title>
    <b:JournalName>urkish Journal of Electrical Engineering and Computer Science</b:JournalName>
    <b:Year>2025</b:Year>
    <b:Pages>5-23</b:Pages>
    <b:Volume>33</b:Volume>
    <b:Issue>3</b:Issue>
    <b:Author>
      <b:Author>
        <b:NameList>
          <b:Person>
            <b:Last>HAJIPOOR</b:Last>
            <b:First>MEHRAN</b:First>
          </b:Person>
          <b:Person>
            <b:Last>MOTAMENI</b:Last>
            <b:First>HOMAYUN</b:First>
          </b:Person>
          <b:Person>
            <b:Last>EBRAHIMNEJAD</b:Last>
            <b:First>ALİ</b:First>
          </b:Person>
        </b:NameList>
      </b:Author>
    </b:Author>
    <b:RefOrder>3</b:RefOrder>
  </b:Source>
  <b:Source>
    <b:Tag>Har26</b:Tag>
    <b:SourceType>InternetSite</b:SourceType>
    <b:Guid>{3594F9F0-DB26-42AD-95C6-E953C0818F2B}</b:Guid>
    <b:Title>software architecture guild</b:Title>
    <b:YearAccessed>2026</b:YearAccessed>
    <b:MonthAccessed>spetember</b:MonthAccessed>
    <b:DayAccessed>24</b:DayAccessed>
    <b:URL>https://software-architecture-guild.com/guide/architecture/styles/layered-monolith/</b:URL>
    <b:Author>
      <b:Author>
        <b:NameList>
          <b:Person>
            <b:Last>Hardzeenka</b:Last>
            <b:First>Ilya </b:First>
          </b:Person>
        </b:NameList>
      </b:Author>
    </b:Author>
    <b:RefOrder>4</b:RefOrder>
  </b:Source>
  <b:Source>
    <b:Tag>Alv25</b:Tag>
    <b:SourceType>InternetSite</b:SourceType>
    <b:Guid>{92B0F583-ED00-4361-BC91-F0D513C9D26B}</b:Guid>
    <b:Title>medium</b:Title>
    <b:Year>2025</b:Year>
    <b:YearAccessed>2026</b:YearAccessed>
    <b:MonthAccessed>september</b:MonthAccessed>
    <b:DayAccessed>24</b:DayAccessed>
    <b:URL>https://medium.com/beyond-the-brackets/the-monolith-layered-architecture-explained-f021568ae96a</b:URL>
    <b:Author>
      <b:Author>
        <b:NameList>
          <b:Person>
            <b:Last>Alvares</b:Last>
            <b:First>Stefano</b:First>
          </b:Person>
        </b:NameList>
      </b:Author>
    </b:Author>
    <b:RefOrder>5</b:RefOrder>
  </b:Source>
  <b:Source>
    <b:Tag>HER24</b:Tag>
    <b:SourceType>Report</b:SourceType>
    <b:Guid>{1B1B9898-B448-4030-9574-C8D2E55E30BD}</b:Guid>
    <b:Title>Microservices Migration Process to Spring Boot and Quarkus</b:Title>
    <b:Year>2024</b:Year>
    <b:Publisher>Masaryk University</b:Publisher>
    <b:City>Brno</b:City>
    <b:Author>
      <b:Author>
        <b:NameList>
          <b:Person>
            <b:Last>HERMANOVÁ</b:Last>
            <b:First>KATARÍNA</b:First>
          </b:Person>
        </b:NameList>
      </b:Author>
    </b:Author>
    <b:RefOrder>7</b:RefOrder>
  </b:Source>
  <b:Source>
    <b:Tag>Ozk23</b:Tag>
    <b:SourceType>InternetSite</b:SourceType>
    <b:Guid>{0757D0AD-2972-4B75-808B-8360FD1B603F}</b:Guid>
    <b:Title>medium</b:Title>
    <b:Year>2023</b:Year>
    <b:YearAccessed>2026</b:YearAccessed>
    <b:MonthAccessed>september</b:MonthAccessed>
    <b:DayAccessed>25</b:DayAccessed>
    <b:URL>https://medium.com/design-microservices-architecture-with-patterns/microservices-killer-modular-monolithic-architecture-ac83814f6862</b:URL>
    <b:Author>
      <b:Author>
        <b:NameList>
          <b:Person>
            <b:Last>Ozkaya</b:Last>
            <b:First>Mehmet</b:First>
          </b:Person>
        </b:NameList>
      </b:Author>
    </b:Author>
    <b:RefOrder>6</b:RefOrder>
  </b:Source>
  <b:Source>
    <b:Tag>Mil22</b:Tag>
    <b:SourceType>JournalArticle</b:SourceType>
    <b:Guid>{5299F087-7FB8-465B-8D34-EF070FD40EDD}</b:Guid>
    <b:Title>Development of a Quality-Based Model for Software Architecture Optimization: A Case Study of Monolith and Microservice Architectures</b:Title>
    <b:Year>2022</b:Year>
    <b:Author>
      <b:Author>
        <b:NameList>
          <b:Person>
            <b:Last>Mili´c </b:Last>
            <b:First>Miloš</b:First>
          </b:Person>
          <b:Person>
            <b:Last>Makaji´c-Nikoli´c</b:Last>
            <b:First>Dragana</b:First>
          </b:Person>
        </b:NameList>
      </b:Author>
    </b:Author>
    <b:JournalName>Symmetry</b:JournalName>
    <b:Pages>1-26</b:Pages>
    <b:RefOrder>8</b:RefOrder>
  </b:Source>
  <b:Source>
    <b:Tag>Tae24</b:Tag>
    <b:SourceType>JournalArticle</b:SourceType>
    <b:Guid>{1BDB7572-B128-4FB3-8AD4-AF31978552C8}</b:Guid>
    <b:Title>Microservices Boundary Determination Migration in DevOps: a Case Study</b:Title>
    <b:Year>2024</b:Year>
    <b:Author>
      <b:Author>
        <b:NameList>
          <b:Person>
            <b:Last>TaeiZadeh1</b:Last>
            <b:First>Ali</b:First>
          </b:Person>
          <b:Person>
            <b:Last>Lotfi2</b:Last>
            <b:First>Zahra</b:First>
          </b:Person>
          <b:Person>
            <b:Last>Ramadhan1</b:Last>
            <b:First>Ali</b:First>
          </b:Person>
        </b:NameList>
      </b:Author>
    </b:Author>
    <b:JournalName>BIO Web of Conferences</b:JournalName>
    <b:Pages>1-20</b:Pages>
    <b:Volume>97</b:Volume>
    <b:RefOrder>9</b:RefOrder>
  </b:Source>
  <b:Source>
    <b:Tag>Gud22</b:Tag>
    <b:SourceType>JournalArticle</b:SourceType>
    <b:Guid>{B172A2AA-0B3F-4BD8-9FD7-5EA37ABEACD1}</b:Guid>
    <b:Title>MICROSERVICE ARCHITECTURE: CHALLENGES, SOLUTIONS, AND BEST PRACTICES</b:Title>
    <b:JournalName>International Research Journal of Modernization in Engineering Technology and Science </b:JournalName>
    <b:Year>2022</b:Year>
    <b:Volume>VIII</b:Volume>
    <b:Issue>7</b:Issue>
    <b:Author>
      <b:Author>
        <b:NameList>
          <b:Person>
            <b:Last>Gudelli</b:Last>
            <b:Middle>Ramana</b:Middle>
            <b:First>Venkata</b:First>
          </b:Person>
        </b:NameList>
      </b:Author>
    </b:Author>
    <b:RefOrder>10</b:RefOrder>
  </b:Source>
  <b:Source>
    <b:Tag>Har24</b:Tag>
    <b:SourceType>InternetSite</b:SourceType>
    <b:Guid>{450562CA-29CE-46C7-81B3-621C07F196F3}</b:Guid>
    <b:Title>linkedin</b:Title>
    <b:Year>2024</b:Year>
    <b:YearAccessed>2026</b:YearAccessed>
    <b:MonthAccessed>september</b:MonthAccessed>
    <b:DayAccessed>26</b:DayAccessed>
    <b:URL>https://www.linkedin.com/pulse/architecturally-significant-requirements-asr-solution-harikrishnan-j-wkrsf</b:URL>
    <b:Author>
      <b:Author>
        <b:NameList>
          <b:Person>
            <b:Last>Harikrishnan</b:Last>
            <b:First>J</b:First>
          </b:Person>
        </b:NameList>
      </b:Author>
    </b:Author>
    <b:RefOrder>1</b:RefOrder>
  </b:Source>
</b:Sources>
</file>

<file path=customXml/itemProps1.xml><?xml version="1.0" encoding="utf-8"?>
<ds:datastoreItem xmlns:ds="http://schemas.openxmlformats.org/officeDocument/2006/customXml" ds:itemID="{6E3F87FE-99B4-4B15-AD60-96B7A8879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TotalTime>
  <Pages>8</Pages>
  <Words>2292</Words>
  <Characters>13066</Characters>
  <Application>Microsoft Office Word</Application>
  <DocSecurity>0</DocSecurity>
  <Lines>108</Lines>
  <Paragraphs>30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ASRs &amp; Quality Drivers</vt:lpstr>
      <vt:lpstr>    Architecture Alternatives and Selection</vt:lpstr>
      <vt:lpstr>        Layered Monolithic Architecture</vt:lpstr>
      <vt:lpstr>    Modular Monolith</vt:lpstr>
      <vt:lpstr>        Deployment</vt:lpstr>
      <vt:lpstr>    Microservices Architecture</vt:lpstr>
      <vt:lpstr>&lt;References</vt:lpstr>
    </vt:vector>
  </TitlesOfParts>
  <Company/>
  <LinksUpToDate>false</LinksUpToDate>
  <CharactersWithSpaces>15328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Tetelo</dc:creator>
  <cp:keywords/>
  <dc:description/>
  <cp:lastModifiedBy>Tetelo Phahladira</cp:lastModifiedBy>
  <cp:revision>7</cp:revision>
  <dcterms:created xsi:type="dcterms:W3CDTF">2026-09-22T13:43:00Z</dcterms:created>
  <dcterms:modified xsi:type="dcterms:W3CDTF">2026-09-29T21:22:00Z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679f359c-ac66-4ab5-b967-8ecf85ee0f16</vt:lpwstr>
  </property>
</Properties>
</file>