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C1C4D" w14:textId="77777777" w:rsidR="00007513" w:rsidRPr="00007513" w:rsidRDefault="00007513" w:rsidP="00007513">
      <w:r w:rsidRPr="00007513">
        <w:t>ASRs &amp; Quality Drivers</w:t>
      </w:r>
    </w:p>
    <w:p w14:paraId="71367DD4" w14:textId="5FFA46F1" w:rsidR="00007513" w:rsidRDefault="00007513" w:rsidP="00007513">
      <w:r>
        <w:t>Architecturally Significant Requirements (ASRs) are requirements that are significant in designing a system’s architecture and are therefore given a higher priority (</w:t>
      </w:r>
      <w:proofErr w:type="spellStart"/>
      <w:r>
        <w:t>Harikrishnan</w:t>
      </w:r>
      <w:proofErr w:type="spellEnd"/>
      <w:r>
        <w:t xml:space="preserve">, 2024). This means that a system architect’s decisions are influenced by these requirements. </w:t>
      </w:r>
      <w:proofErr w:type="spellStart"/>
      <w:r>
        <w:t>Bode’s</w:t>
      </w:r>
      <w:proofErr w:type="spellEnd"/>
      <w:r>
        <w:t xml:space="preserve"> (2011) doctoral thesis on quality-goal-oriented architectural design frames this precisely: architectural analysis takes functional and non-functional requirements, together with the business-goal context, and from these “defines the architecturally significant requirements”. These requirements then drive architectural synthesis—the creation of candidate solutions—and architectural evaluation, which determines whether the appropriate architectural decisions have been made. A </w:t>
      </w:r>
      <w:r>
        <w:rPr>
          <w:rStyle w:val="Strong"/>
        </w:rPr>
        <w:t>quality driver</w:t>
      </w:r>
      <w:r>
        <w:t xml:space="preserve"> is the more specific mechanism through which an ASR exerts that influence.</w:t>
      </w:r>
    </w:p>
    <w:p w14:paraId="1F807248" w14:textId="77777777" w:rsidR="00007513" w:rsidRPr="00007513" w:rsidRDefault="00007513" w:rsidP="00007513"/>
    <w:tbl>
      <w:tblPr>
        <w:tblStyle w:val="TableGridLight"/>
        <w:tblW w:w="0" w:type="auto"/>
        <w:tblLook w:val="04A0" w:firstRow="1" w:lastRow="0" w:firstColumn="1" w:lastColumn="0" w:noHBand="0" w:noVBand="1"/>
      </w:tblPr>
      <w:tblGrid>
        <w:gridCol w:w="1547"/>
        <w:gridCol w:w="1394"/>
        <w:gridCol w:w="1917"/>
        <w:gridCol w:w="2271"/>
        <w:gridCol w:w="1887"/>
      </w:tblGrid>
      <w:tr w:rsidR="00007513" w:rsidRPr="00007513" w14:paraId="7D7870EB" w14:textId="77777777" w:rsidTr="00007513">
        <w:tc>
          <w:tcPr>
            <w:tcW w:w="0" w:type="auto"/>
            <w:hideMark/>
          </w:tcPr>
          <w:p w14:paraId="521E0CAB" w14:textId="77777777" w:rsidR="00007513" w:rsidRPr="00007513" w:rsidRDefault="00007513" w:rsidP="00007513">
            <w:pPr>
              <w:spacing w:after="160" w:line="259" w:lineRule="auto"/>
              <w:rPr>
                <w:b/>
                <w:bCs/>
              </w:rPr>
            </w:pPr>
            <w:r w:rsidRPr="00007513">
              <w:rPr>
                <w:b/>
                <w:bCs/>
              </w:rPr>
              <w:t>Quality Driver</w:t>
            </w:r>
          </w:p>
        </w:tc>
        <w:tc>
          <w:tcPr>
            <w:tcW w:w="0" w:type="auto"/>
            <w:hideMark/>
          </w:tcPr>
          <w:p w14:paraId="65D8DF2D" w14:textId="77777777" w:rsidR="00007513" w:rsidRPr="00007513" w:rsidRDefault="00007513" w:rsidP="00007513">
            <w:pPr>
              <w:spacing w:after="160" w:line="259" w:lineRule="auto"/>
              <w:rPr>
                <w:b/>
                <w:bCs/>
              </w:rPr>
            </w:pPr>
            <w:proofErr w:type="spellStart"/>
            <w:r w:rsidRPr="00007513">
              <w:rPr>
                <w:b/>
                <w:bCs/>
              </w:rPr>
              <w:t>CivicConnect</w:t>
            </w:r>
            <w:proofErr w:type="spellEnd"/>
            <w:r w:rsidRPr="00007513">
              <w:rPr>
                <w:b/>
                <w:bCs/>
              </w:rPr>
              <w:t xml:space="preserve"> Evidence</w:t>
            </w:r>
          </w:p>
        </w:tc>
        <w:tc>
          <w:tcPr>
            <w:tcW w:w="0" w:type="auto"/>
            <w:hideMark/>
          </w:tcPr>
          <w:p w14:paraId="4BF6A022" w14:textId="77777777" w:rsidR="00007513" w:rsidRPr="00007513" w:rsidRDefault="00007513" w:rsidP="00007513">
            <w:pPr>
              <w:spacing w:after="160" w:line="259" w:lineRule="auto"/>
              <w:rPr>
                <w:b/>
                <w:bCs/>
              </w:rPr>
            </w:pPr>
            <w:r w:rsidRPr="00007513">
              <w:rPr>
                <w:b/>
                <w:bCs/>
              </w:rPr>
              <w:t>Measure/Test</w:t>
            </w:r>
          </w:p>
        </w:tc>
        <w:tc>
          <w:tcPr>
            <w:tcW w:w="0" w:type="auto"/>
            <w:hideMark/>
          </w:tcPr>
          <w:p w14:paraId="4F6A0993" w14:textId="77777777" w:rsidR="00007513" w:rsidRPr="00007513" w:rsidRDefault="00007513" w:rsidP="00007513">
            <w:pPr>
              <w:spacing w:after="160" w:line="259" w:lineRule="auto"/>
              <w:rPr>
                <w:b/>
                <w:bCs/>
              </w:rPr>
            </w:pPr>
            <w:r w:rsidRPr="00007513">
              <w:rPr>
                <w:b/>
                <w:bCs/>
              </w:rPr>
              <w:t>Architecture Implication</w:t>
            </w:r>
          </w:p>
        </w:tc>
        <w:tc>
          <w:tcPr>
            <w:tcW w:w="0" w:type="auto"/>
            <w:hideMark/>
          </w:tcPr>
          <w:p w14:paraId="31FE2259" w14:textId="77777777" w:rsidR="00007513" w:rsidRPr="00007513" w:rsidRDefault="00007513" w:rsidP="00007513">
            <w:pPr>
              <w:spacing w:after="160" w:line="259" w:lineRule="auto"/>
              <w:rPr>
                <w:b/>
                <w:bCs/>
              </w:rPr>
            </w:pPr>
            <w:r w:rsidRPr="00007513">
              <w:rPr>
                <w:b/>
                <w:bCs/>
              </w:rPr>
              <w:t>Grounding</w:t>
            </w:r>
          </w:p>
        </w:tc>
      </w:tr>
      <w:tr w:rsidR="00007513" w:rsidRPr="00007513" w14:paraId="360829DC" w14:textId="77777777" w:rsidTr="00007513">
        <w:tc>
          <w:tcPr>
            <w:tcW w:w="0" w:type="auto"/>
            <w:hideMark/>
          </w:tcPr>
          <w:p w14:paraId="1090D73E" w14:textId="77777777" w:rsidR="00007513" w:rsidRPr="00007513" w:rsidRDefault="00007513" w:rsidP="00007513">
            <w:pPr>
              <w:spacing w:after="160" w:line="259" w:lineRule="auto"/>
            </w:pPr>
            <w:r w:rsidRPr="00007513">
              <w:rPr>
                <w:b/>
                <w:bCs/>
              </w:rPr>
              <w:t>Performance</w:t>
            </w:r>
          </w:p>
        </w:tc>
        <w:tc>
          <w:tcPr>
            <w:tcW w:w="0" w:type="auto"/>
            <w:hideMark/>
          </w:tcPr>
          <w:p w14:paraId="1F9E2058" w14:textId="77777777" w:rsidR="00007513" w:rsidRPr="00007513" w:rsidRDefault="00007513" w:rsidP="00007513">
            <w:pPr>
              <w:spacing w:after="160" w:line="259" w:lineRule="auto"/>
            </w:pPr>
            <w:r w:rsidRPr="00007513">
              <w:t>Functional Requirement NFR-001 (Non-Functional Requirement)</w:t>
            </w:r>
          </w:p>
        </w:tc>
        <w:tc>
          <w:tcPr>
            <w:tcW w:w="0" w:type="auto"/>
            <w:hideMark/>
          </w:tcPr>
          <w:p w14:paraId="104B9A00" w14:textId="77777777" w:rsidR="00007513" w:rsidRPr="00007513" w:rsidRDefault="00007513" w:rsidP="00007513">
            <w:pPr>
              <w:spacing w:after="160" w:line="259" w:lineRule="auto"/>
            </w:pPr>
            <w:r w:rsidRPr="00007513">
              <w:t>95% of selected actions ≤ 3 seconds</w:t>
            </w:r>
          </w:p>
        </w:tc>
        <w:tc>
          <w:tcPr>
            <w:tcW w:w="0" w:type="auto"/>
            <w:hideMark/>
          </w:tcPr>
          <w:p w14:paraId="3F5FB729" w14:textId="77777777" w:rsidR="00007513" w:rsidRPr="00007513" w:rsidRDefault="00007513" w:rsidP="00007513">
            <w:pPr>
              <w:spacing w:after="160" w:line="259" w:lineRule="auto"/>
            </w:pPr>
            <w:r w:rsidRPr="00007513">
              <w:t>Influences application and data architecture</w:t>
            </w:r>
          </w:p>
        </w:tc>
        <w:tc>
          <w:tcPr>
            <w:tcW w:w="0" w:type="auto"/>
            <w:hideMark/>
          </w:tcPr>
          <w:p w14:paraId="56026C78" w14:textId="77777777" w:rsidR="00007513" w:rsidRPr="00007513" w:rsidRDefault="00007513" w:rsidP="00007513">
            <w:pPr>
              <w:spacing w:after="160" w:line="259" w:lineRule="auto"/>
            </w:pPr>
            <w:r w:rsidRPr="00007513">
              <w:t>Silva et al. (2023) note that architecture-only performance metrics allow this type of response-time target to be evaluated against a design before code exists, rather than only after implementation.</w:t>
            </w:r>
          </w:p>
        </w:tc>
      </w:tr>
      <w:tr w:rsidR="00007513" w:rsidRPr="00007513" w14:paraId="4330AE62" w14:textId="77777777" w:rsidTr="00007513">
        <w:tc>
          <w:tcPr>
            <w:tcW w:w="0" w:type="auto"/>
            <w:hideMark/>
          </w:tcPr>
          <w:p w14:paraId="723AB6D5" w14:textId="77777777" w:rsidR="00007513" w:rsidRPr="00007513" w:rsidRDefault="00007513" w:rsidP="00007513">
            <w:pPr>
              <w:spacing w:after="160" w:line="259" w:lineRule="auto"/>
            </w:pPr>
            <w:r w:rsidRPr="00007513">
              <w:rPr>
                <w:b/>
                <w:bCs/>
              </w:rPr>
              <w:t>Security</w:t>
            </w:r>
          </w:p>
        </w:tc>
        <w:tc>
          <w:tcPr>
            <w:tcW w:w="0" w:type="auto"/>
            <w:hideMark/>
          </w:tcPr>
          <w:p w14:paraId="51850862" w14:textId="77777777" w:rsidR="00007513" w:rsidRPr="00007513" w:rsidRDefault="00007513" w:rsidP="00007513">
            <w:pPr>
              <w:spacing w:after="160" w:line="259" w:lineRule="auto"/>
            </w:pPr>
            <w:r w:rsidRPr="00007513">
              <w:t>NFR-002/NFR-003</w:t>
            </w:r>
          </w:p>
        </w:tc>
        <w:tc>
          <w:tcPr>
            <w:tcW w:w="0" w:type="auto"/>
            <w:hideMark/>
          </w:tcPr>
          <w:p w14:paraId="779F6CF1" w14:textId="77777777" w:rsidR="00007513" w:rsidRPr="00007513" w:rsidRDefault="00007513" w:rsidP="00007513">
            <w:pPr>
              <w:spacing w:after="160" w:line="259" w:lineRule="auto"/>
            </w:pPr>
            <w:r w:rsidRPr="00007513">
              <w:t>Role-based access tests</w:t>
            </w:r>
          </w:p>
        </w:tc>
        <w:tc>
          <w:tcPr>
            <w:tcW w:w="0" w:type="auto"/>
            <w:hideMark/>
          </w:tcPr>
          <w:p w14:paraId="3A23557C" w14:textId="77777777" w:rsidR="00007513" w:rsidRPr="00007513" w:rsidRDefault="00007513" w:rsidP="00007513">
            <w:pPr>
              <w:spacing w:after="160" w:line="259" w:lineRule="auto"/>
            </w:pPr>
            <w:r w:rsidRPr="00007513">
              <w:t>Requires authentication and authorisation boundaries</w:t>
            </w:r>
          </w:p>
        </w:tc>
        <w:tc>
          <w:tcPr>
            <w:tcW w:w="0" w:type="auto"/>
            <w:hideMark/>
          </w:tcPr>
          <w:p w14:paraId="78933A4E" w14:textId="77777777" w:rsidR="00007513" w:rsidRPr="00007513" w:rsidRDefault="00007513" w:rsidP="00007513">
            <w:pPr>
              <w:spacing w:after="160" w:line="259" w:lineRule="auto"/>
            </w:pPr>
            <w:proofErr w:type="spellStart"/>
            <w:r w:rsidRPr="00007513">
              <w:t>Sohofi</w:t>
            </w:r>
            <w:proofErr w:type="spellEnd"/>
            <w:r w:rsidRPr="00007513">
              <w:t xml:space="preserve"> &amp; </w:t>
            </w:r>
            <w:proofErr w:type="spellStart"/>
            <w:r w:rsidRPr="00007513">
              <w:t>Dehbashi</w:t>
            </w:r>
            <w:proofErr w:type="spellEnd"/>
            <w:r w:rsidRPr="00007513">
              <w:t xml:space="preserve"> </w:t>
            </w:r>
            <w:proofErr w:type="spellStart"/>
            <w:r w:rsidRPr="00007513">
              <w:t>Dezfouli’s</w:t>
            </w:r>
            <w:proofErr w:type="spellEnd"/>
            <w:r w:rsidRPr="00007513">
              <w:t xml:space="preserve"> (2025) review shows that Role-Based Access Control (RBAC) is a standard mechanism for “streamlining user management in complex organisational structures”. For </w:t>
            </w:r>
            <w:proofErr w:type="spellStart"/>
            <w:r w:rsidRPr="00007513">
              <w:t>CivicConnect</w:t>
            </w:r>
            <w:proofErr w:type="spellEnd"/>
            <w:r w:rsidRPr="00007513">
              <w:t xml:space="preserve">, this means that the architecture must expose an explicit authorisation boundary rather than embedding access checks ad </w:t>
            </w:r>
            <w:r w:rsidRPr="00007513">
              <w:lastRenderedPageBreak/>
              <w:t>hoc across components.</w:t>
            </w:r>
          </w:p>
        </w:tc>
      </w:tr>
      <w:tr w:rsidR="00007513" w:rsidRPr="00007513" w14:paraId="1F56C3FD" w14:textId="77777777" w:rsidTr="00007513">
        <w:tc>
          <w:tcPr>
            <w:tcW w:w="0" w:type="auto"/>
            <w:hideMark/>
          </w:tcPr>
          <w:p w14:paraId="3D9EBCBE" w14:textId="77777777" w:rsidR="00007513" w:rsidRPr="00007513" w:rsidRDefault="00007513" w:rsidP="00007513">
            <w:pPr>
              <w:spacing w:after="160" w:line="259" w:lineRule="auto"/>
            </w:pPr>
            <w:r w:rsidRPr="00007513">
              <w:rPr>
                <w:b/>
                <w:bCs/>
              </w:rPr>
              <w:lastRenderedPageBreak/>
              <w:t>Data Integrity</w:t>
            </w:r>
          </w:p>
        </w:tc>
        <w:tc>
          <w:tcPr>
            <w:tcW w:w="0" w:type="auto"/>
            <w:hideMark/>
          </w:tcPr>
          <w:p w14:paraId="0DBBA862" w14:textId="77777777" w:rsidR="00007513" w:rsidRPr="00007513" w:rsidRDefault="00007513" w:rsidP="00007513">
            <w:pPr>
              <w:spacing w:after="160" w:line="259" w:lineRule="auto"/>
            </w:pPr>
            <w:r w:rsidRPr="00007513">
              <w:t>NFR-004</w:t>
            </w:r>
          </w:p>
        </w:tc>
        <w:tc>
          <w:tcPr>
            <w:tcW w:w="0" w:type="auto"/>
            <w:hideMark/>
          </w:tcPr>
          <w:p w14:paraId="73376588" w14:textId="77777777" w:rsidR="00007513" w:rsidRPr="00007513" w:rsidRDefault="00007513" w:rsidP="00007513">
            <w:pPr>
              <w:spacing w:after="160" w:line="259" w:lineRule="auto"/>
            </w:pPr>
            <w:r w:rsidRPr="00007513">
              <w:t>Invalid records/status transitions rejected</w:t>
            </w:r>
          </w:p>
        </w:tc>
        <w:tc>
          <w:tcPr>
            <w:tcW w:w="0" w:type="auto"/>
            <w:hideMark/>
          </w:tcPr>
          <w:p w14:paraId="2F3EF982" w14:textId="77777777" w:rsidR="00007513" w:rsidRPr="00007513" w:rsidRDefault="00007513" w:rsidP="00007513">
            <w:pPr>
              <w:spacing w:after="160" w:line="259" w:lineRule="auto"/>
            </w:pPr>
            <w:r w:rsidRPr="00007513">
              <w:t>Influences data model and validation</w:t>
            </w:r>
          </w:p>
        </w:tc>
        <w:tc>
          <w:tcPr>
            <w:tcW w:w="0" w:type="auto"/>
            <w:hideMark/>
          </w:tcPr>
          <w:p w14:paraId="1DF6C7AC" w14:textId="77777777" w:rsidR="00007513" w:rsidRPr="00007513" w:rsidRDefault="00007513" w:rsidP="00007513">
            <w:pPr>
              <w:spacing w:after="160" w:line="259" w:lineRule="auto"/>
            </w:pPr>
            <w:r w:rsidRPr="00007513">
              <w:t xml:space="preserve">Consistent with the layered-enforcement findings already established for </w:t>
            </w:r>
            <w:proofErr w:type="spellStart"/>
            <w:r w:rsidRPr="00007513">
              <w:t>CivicConnect’s</w:t>
            </w:r>
            <w:proofErr w:type="spellEnd"/>
            <w:r w:rsidRPr="00007513">
              <w:t xml:space="preserve"> persistence design, which includes client, application/service, and database-constraint layers.</w:t>
            </w:r>
          </w:p>
        </w:tc>
      </w:tr>
      <w:tr w:rsidR="00007513" w:rsidRPr="00007513" w14:paraId="571A2214" w14:textId="77777777" w:rsidTr="00007513">
        <w:tc>
          <w:tcPr>
            <w:tcW w:w="0" w:type="auto"/>
            <w:hideMark/>
          </w:tcPr>
          <w:p w14:paraId="5EA984B8" w14:textId="77777777" w:rsidR="00007513" w:rsidRPr="00007513" w:rsidRDefault="00007513" w:rsidP="00007513">
            <w:pPr>
              <w:spacing w:after="160" w:line="259" w:lineRule="auto"/>
            </w:pPr>
            <w:r w:rsidRPr="00007513">
              <w:rPr>
                <w:b/>
                <w:bCs/>
              </w:rPr>
              <w:t>Reliability</w:t>
            </w:r>
          </w:p>
        </w:tc>
        <w:tc>
          <w:tcPr>
            <w:tcW w:w="0" w:type="auto"/>
            <w:hideMark/>
          </w:tcPr>
          <w:p w14:paraId="28556F72" w14:textId="77777777" w:rsidR="00007513" w:rsidRPr="00007513" w:rsidRDefault="00007513" w:rsidP="00007513">
            <w:pPr>
              <w:spacing w:after="160" w:line="259" w:lineRule="auto"/>
            </w:pPr>
            <w:r w:rsidRPr="00007513">
              <w:t>NFR-005</w:t>
            </w:r>
          </w:p>
        </w:tc>
        <w:tc>
          <w:tcPr>
            <w:tcW w:w="0" w:type="auto"/>
            <w:hideMark/>
          </w:tcPr>
          <w:p w14:paraId="70A131C4" w14:textId="77777777" w:rsidR="00007513" w:rsidRPr="00007513" w:rsidRDefault="00007513" w:rsidP="00007513">
            <w:pPr>
              <w:spacing w:after="160" w:line="259" w:lineRule="auto"/>
            </w:pPr>
            <w:r w:rsidRPr="00007513">
              <w:t>Saved request survives refresh/recoverable failure handled</w:t>
            </w:r>
          </w:p>
        </w:tc>
        <w:tc>
          <w:tcPr>
            <w:tcW w:w="0" w:type="auto"/>
            <w:hideMark/>
          </w:tcPr>
          <w:p w14:paraId="72FF25BC" w14:textId="77777777" w:rsidR="00007513" w:rsidRPr="00007513" w:rsidRDefault="00007513" w:rsidP="00007513">
            <w:pPr>
              <w:spacing w:after="160" w:line="259" w:lineRule="auto"/>
            </w:pPr>
            <w:r w:rsidRPr="00007513">
              <w:t>Influences persistence and error handling</w:t>
            </w:r>
          </w:p>
        </w:tc>
        <w:tc>
          <w:tcPr>
            <w:tcW w:w="0" w:type="auto"/>
            <w:hideMark/>
          </w:tcPr>
          <w:p w14:paraId="41578F1D" w14:textId="77777777" w:rsidR="00007513" w:rsidRPr="00007513" w:rsidRDefault="00007513" w:rsidP="00007513">
            <w:pPr>
              <w:spacing w:after="160" w:line="259" w:lineRule="auto"/>
            </w:pPr>
            <w:r w:rsidRPr="00007513">
              <w:t xml:space="preserve">This is an architecturally significant requirement in </w:t>
            </w:r>
            <w:proofErr w:type="spellStart"/>
            <w:r w:rsidRPr="00007513">
              <w:t>Bode’s</w:t>
            </w:r>
            <w:proofErr w:type="spellEnd"/>
            <w:r w:rsidRPr="00007513">
              <w:t xml:space="preserve"> sense because it forces a structural decision regarding transaction boundaries and rollback behaviour rather than a cosmetic one.</w:t>
            </w:r>
          </w:p>
        </w:tc>
      </w:tr>
      <w:tr w:rsidR="00007513" w:rsidRPr="00007513" w14:paraId="2F0DA7FA" w14:textId="77777777" w:rsidTr="00007513">
        <w:tc>
          <w:tcPr>
            <w:tcW w:w="0" w:type="auto"/>
            <w:hideMark/>
          </w:tcPr>
          <w:p w14:paraId="209A2B3D" w14:textId="77777777" w:rsidR="00007513" w:rsidRPr="00007513" w:rsidRDefault="00007513" w:rsidP="00007513">
            <w:pPr>
              <w:spacing w:after="160" w:line="259" w:lineRule="auto"/>
            </w:pPr>
            <w:r w:rsidRPr="00007513">
              <w:rPr>
                <w:b/>
                <w:bCs/>
              </w:rPr>
              <w:t>Maintainability</w:t>
            </w:r>
          </w:p>
        </w:tc>
        <w:tc>
          <w:tcPr>
            <w:tcW w:w="0" w:type="auto"/>
            <w:hideMark/>
          </w:tcPr>
          <w:p w14:paraId="5579920F" w14:textId="77777777" w:rsidR="00007513" w:rsidRPr="00007513" w:rsidRDefault="00007513" w:rsidP="00007513">
            <w:pPr>
              <w:spacing w:after="160" w:line="259" w:lineRule="auto"/>
            </w:pPr>
            <w:r w:rsidRPr="00007513">
              <w:t>NFR-010</w:t>
            </w:r>
          </w:p>
        </w:tc>
        <w:tc>
          <w:tcPr>
            <w:tcW w:w="0" w:type="auto"/>
            <w:hideMark/>
          </w:tcPr>
          <w:p w14:paraId="33E52D8E" w14:textId="77777777" w:rsidR="00007513" w:rsidRPr="00007513" w:rsidRDefault="00007513" w:rsidP="00007513">
            <w:pPr>
              <w:spacing w:after="160" w:line="259" w:lineRule="auto"/>
            </w:pPr>
            <w:r w:rsidRPr="00007513">
              <w:t>Modular structure + automated checks</w:t>
            </w:r>
          </w:p>
        </w:tc>
        <w:tc>
          <w:tcPr>
            <w:tcW w:w="0" w:type="auto"/>
            <w:hideMark/>
          </w:tcPr>
          <w:p w14:paraId="7A116DD5" w14:textId="77777777" w:rsidR="00007513" w:rsidRPr="00007513" w:rsidRDefault="00007513" w:rsidP="00007513">
            <w:pPr>
              <w:spacing w:after="160" w:line="259" w:lineRule="auto"/>
            </w:pPr>
            <w:r w:rsidRPr="00007513">
              <w:t>Influences component/module boundaries</w:t>
            </w:r>
          </w:p>
        </w:tc>
        <w:tc>
          <w:tcPr>
            <w:tcW w:w="0" w:type="auto"/>
            <w:hideMark/>
          </w:tcPr>
          <w:p w14:paraId="09AF8F00" w14:textId="77777777" w:rsidR="00007513" w:rsidRPr="00007513" w:rsidRDefault="00007513" w:rsidP="00007513">
            <w:pPr>
              <w:spacing w:after="160" w:line="259" w:lineRule="auto"/>
            </w:pPr>
            <w:r w:rsidRPr="00007513">
              <w:t>Silva et al. (2023) catalogue maintainability metrics precisely because it is one of the quality attributes most commonly evaluated at the architecture-only level, before full implementation.</w:t>
            </w:r>
          </w:p>
        </w:tc>
      </w:tr>
      <w:tr w:rsidR="00007513" w:rsidRPr="00007513" w14:paraId="2E6C6D40" w14:textId="77777777" w:rsidTr="00007513">
        <w:tc>
          <w:tcPr>
            <w:tcW w:w="0" w:type="auto"/>
            <w:hideMark/>
          </w:tcPr>
          <w:p w14:paraId="39F1E568" w14:textId="77777777" w:rsidR="00007513" w:rsidRPr="00007513" w:rsidRDefault="00007513" w:rsidP="00007513">
            <w:pPr>
              <w:spacing w:after="160" w:line="259" w:lineRule="auto"/>
            </w:pPr>
            <w:r w:rsidRPr="00007513">
              <w:rPr>
                <w:b/>
                <w:bCs/>
              </w:rPr>
              <w:t>Scalability</w:t>
            </w:r>
          </w:p>
        </w:tc>
        <w:tc>
          <w:tcPr>
            <w:tcW w:w="0" w:type="auto"/>
            <w:hideMark/>
          </w:tcPr>
          <w:p w14:paraId="0FFA9A7B" w14:textId="77777777" w:rsidR="00007513" w:rsidRPr="00007513" w:rsidRDefault="00007513" w:rsidP="00007513">
            <w:pPr>
              <w:spacing w:after="160" w:line="259" w:lineRule="auto"/>
            </w:pPr>
            <w:r w:rsidRPr="00007513">
              <w:t>NFR-011</w:t>
            </w:r>
          </w:p>
        </w:tc>
        <w:tc>
          <w:tcPr>
            <w:tcW w:w="0" w:type="auto"/>
            <w:hideMark/>
          </w:tcPr>
          <w:p w14:paraId="1C05100A" w14:textId="77777777" w:rsidR="00007513" w:rsidRPr="00007513" w:rsidRDefault="00007513" w:rsidP="00007513">
            <w:pPr>
              <w:spacing w:after="160" w:line="259" w:lineRule="auto"/>
            </w:pPr>
            <w:r w:rsidRPr="00007513">
              <w:t>Capacity test against agreed volume</w:t>
            </w:r>
          </w:p>
        </w:tc>
        <w:tc>
          <w:tcPr>
            <w:tcW w:w="0" w:type="auto"/>
            <w:hideMark/>
          </w:tcPr>
          <w:p w14:paraId="094521AF" w14:textId="77777777" w:rsidR="00007513" w:rsidRPr="00007513" w:rsidRDefault="00007513" w:rsidP="00007513">
            <w:pPr>
              <w:spacing w:after="160" w:line="259" w:lineRule="auto"/>
            </w:pPr>
            <w:r w:rsidRPr="00007513">
              <w:t>Influences architecture and technology choices</w:t>
            </w:r>
          </w:p>
        </w:tc>
        <w:tc>
          <w:tcPr>
            <w:tcW w:w="0" w:type="auto"/>
            <w:hideMark/>
          </w:tcPr>
          <w:p w14:paraId="3C29E614" w14:textId="77777777" w:rsidR="00007513" w:rsidRPr="00007513" w:rsidRDefault="00007513" w:rsidP="00007513">
            <w:pPr>
              <w:spacing w:after="160" w:line="259" w:lineRule="auto"/>
            </w:pPr>
            <w:proofErr w:type="spellStart"/>
            <w:r w:rsidRPr="00007513">
              <w:t>Losavio</w:t>
            </w:r>
            <w:proofErr w:type="spellEnd"/>
            <w:r w:rsidRPr="00007513">
              <w:t xml:space="preserve"> et al. (2004) show that scalability-related characteristics must be specified using explicit attributes, units, and scale types under the International Organization for Standardization (ISO) 9126-1 quality model. This allows key architectural options to be compared against a target volume rather than being assumed (p. 1).</w:t>
            </w:r>
          </w:p>
        </w:tc>
      </w:tr>
      <w:tr w:rsidR="00007513" w:rsidRPr="00007513" w14:paraId="49DB968C" w14:textId="77777777" w:rsidTr="00007513">
        <w:tc>
          <w:tcPr>
            <w:tcW w:w="0" w:type="auto"/>
            <w:hideMark/>
          </w:tcPr>
          <w:p w14:paraId="10A7FDE1" w14:textId="77777777" w:rsidR="00007513" w:rsidRPr="00007513" w:rsidRDefault="00007513" w:rsidP="00007513">
            <w:pPr>
              <w:spacing w:after="160" w:line="259" w:lineRule="auto"/>
            </w:pPr>
            <w:r w:rsidRPr="00007513">
              <w:rPr>
                <w:b/>
                <w:bCs/>
              </w:rPr>
              <w:t>Auditability</w:t>
            </w:r>
          </w:p>
        </w:tc>
        <w:tc>
          <w:tcPr>
            <w:tcW w:w="0" w:type="auto"/>
            <w:hideMark/>
          </w:tcPr>
          <w:p w14:paraId="17C35B1C" w14:textId="77777777" w:rsidR="00007513" w:rsidRPr="00007513" w:rsidRDefault="00007513" w:rsidP="00007513">
            <w:pPr>
              <w:spacing w:after="160" w:line="259" w:lineRule="auto"/>
            </w:pPr>
            <w:r w:rsidRPr="00007513">
              <w:t>NFR-009</w:t>
            </w:r>
          </w:p>
        </w:tc>
        <w:tc>
          <w:tcPr>
            <w:tcW w:w="0" w:type="auto"/>
            <w:hideMark/>
          </w:tcPr>
          <w:p w14:paraId="3C8B07C1" w14:textId="77777777" w:rsidR="00007513" w:rsidRPr="00007513" w:rsidRDefault="00007513" w:rsidP="00007513">
            <w:pPr>
              <w:spacing w:after="160" w:line="259" w:lineRule="auto"/>
            </w:pPr>
            <w:r w:rsidRPr="00007513">
              <w:t>Lifecycle actions record user/date/action</w:t>
            </w:r>
          </w:p>
        </w:tc>
        <w:tc>
          <w:tcPr>
            <w:tcW w:w="0" w:type="auto"/>
            <w:hideMark/>
          </w:tcPr>
          <w:p w14:paraId="3CB55500" w14:textId="77777777" w:rsidR="00007513" w:rsidRPr="00007513" w:rsidRDefault="00007513" w:rsidP="00007513">
            <w:pPr>
              <w:spacing w:after="160" w:line="259" w:lineRule="auto"/>
            </w:pPr>
            <w:r w:rsidRPr="00007513">
              <w:t>Influences data model and service design</w:t>
            </w:r>
          </w:p>
        </w:tc>
        <w:tc>
          <w:tcPr>
            <w:tcW w:w="0" w:type="auto"/>
            <w:hideMark/>
          </w:tcPr>
          <w:p w14:paraId="138AAB55" w14:textId="77777777" w:rsidR="00007513" w:rsidRPr="00007513" w:rsidRDefault="00007513" w:rsidP="00007513">
            <w:pPr>
              <w:spacing w:after="160" w:line="259" w:lineRule="auto"/>
            </w:pPr>
            <w:r w:rsidRPr="00007513">
              <w:t>This is an architecturally significant requirement because it requires every state-changing service to emit a traceable record, rather than relying solely on the component that owns the requirement.</w:t>
            </w:r>
          </w:p>
        </w:tc>
      </w:tr>
      <w:tr w:rsidR="00007513" w:rsidRPr="00007513" w14:paraId="703F7F41" w14:textId="77777777" w:rsidTr="00007513">
        <w:tc>
          <w:tcPr>
            <w:tcW w:w="0" w:type="auto"/>
            <w:hideMark/>
          </w:tcPr>
          <w:p w14:paraId="082B5B52" w14:textId="77777777" w:rsidR="00007513" w:rsidRPr="00007513" w:rsidRDefault="00007513" w:rsidP="00007513">
            <w:pPr>
              <w:spacing w:after="160" w:line="259" w:lineRule="auto"/>
            </w:pPr>
            <w:r w:rsidRPr="00007513">
              <w:rPr>
                <w:b/>
                <w:bCs/>
              </w:rPr>
              <w:t>Cost</w:t>
            </w:r>
          </w:p>
        </w:tc>
        <w:tc>
          <w:tcPr>
            <w:tcW w:w="0" w:type="auto"/>
            <w:hideMark/>
          </w:tcPr>
          <w:p w14:paraId="025AFFD5" w14:textId="77777777" w:rsidR="00007513" w:rsidRPr="00007513" w:rsidRDefault="00007513" w:rsidP="00007513">
            <w:pPr>
              <w:spacing w:after="160" w:line="259" w:lineRule="auto"/>
            </w:pPr>
            <w:r w:rsidRPr="00007513">
              <w:t>NFR-012 / CON-004 (Constraint)</w:t>
            </w:r>
          </w:p>
        </w:tc>
        <w:tc>
          <w:tcPr>
            <w:tcW w:w="0" w:type="auto"/>
            <w:hideMark/>
          </w:tcPr>
          <w:p w14:paraId="781533D7" w14:textId="77777777" w:rsidR="00007513" w:rsidRPr="00007513" w:rsidRDefault="00007513" w:rsidP="00007513">
            <w:pPr>
              <w:spacing w:after="160" w:line="259" w:lineRule="auto"/>
            </w:pPr>
            <w:r w:rsidRPr="00007513">
              <w:t>Service limits/cost checked</w:t>
            </w:r>
          </w:p>
        </w:tc>
        <w:tc>
          <w:tcPr>
            <w:tcW w:w="0" w:type="auto"/>
            <w:hideMark/>
          </w:tcPr>
          <w:p w14:paraId="6072B86A" w14:textId="77777777" w:rsidR="00007513" w:rsidRPr="00007513" w:rsidRDefault="00007513" w:rsidP="00007513">
            <w:pPr>
              <w:spacing w:after="160" w:line="259" w:lineRule="auto"/>
            </w:pPr>
            <w:r w:rsidRPr="00007513">
              <w:t>Influences technology/deployment selection</w:t>
            </w:r>
          </w:p>
        </w:tc>
        <w:tc>
          <w:tcPr>
            <w:tcW w:w="0" w:type="auto"/>
            <w:hideMark/>
          </w:tcPr>
          <w:p w14:paraId="2C19AE46" w14:textId="77777777" w:rsidR="00007513" w:rsidRPr="00007513" w:rsidRDefault="00007513" w:rsidP="00007513">
            <w:pPr>
              <w:spacing w:after="160" w:line="259" w:lineRule="auto"/>
            </w:pPr>
            <w:r w:rsidRPr="00007513">
              <w:t>This is directly linked to a project constraint (CON-004) rather than a stakeholder wish, which is precisely the type of traceable source that an ASR requires each driver to have.</w:t>
            </w:r>
          </w:p>
        </w:tc>
      </w:tr>
    </w:tbl>
    <w:p w14:paraId="66E7ADDF" w14:textId="77777777" w:rsidR="00007513" w:rsidRPr="00007513" w:rsidRDefault="00007513" w:rsidP="00007513"/>
    <w:p w14:paraId="1DA990DC" w14:textId="77777777" w:rsidR="00007513" w:rsidRDefault="00007513" w:rsidP="00007513"/>
    <w:p w14:paraId="2F13A0DC" w14:textId="77777777" w:rsidR="00007513" w:rsidRDefault="00007513" w:rsidP="00007513"/>
    <w:p w14:paraId="1B9CD4AB" w14:textId="77777777" w:rsidR="00007513" w:rsidRDefault="00007513" w:rsidP="00007513"/>
    <w:p w14:paraId="61062125" w14:textId="1F0EF369" w:rsidR="00007513" w:rsidRPr="00007513" w:rsidRDefault="00007513" w:rsidP="00007513">
      <w:pPr>
        <w:pStyle w:val="Heading2"/>
      </w:pPr>
      <w:r w:rsidRPr="00007513">
        <w:t>Measurable or testable expectations</w:t>
      </w:r>
    </w:p>
    <w:p w14:paraId="70505F2A" w14:textId="77777777" w:rsidR="00007513" w:rsidRPr="00007513" w:rsidRDefault="00007513" w:rsidP="00007513">
      <w:r w:rsidRPr="00007513">
        <w:t xml:space="preserve">Every row already contains a stated </w:t>
      </w:r>
      <w:r w:rsidRPr="00007513">
        <w:rPr>
          <w:b/>
          <w:bCs/>
        </w:rPr>
        <w:t>Measure/Test</w:t>
      </w:r>
      <w:r w:rsidRPr="00007513">
        <w:t xml:space="preserve">. This is important because, according to Silva et al. (2023), architecture-level evaluation can be divided into scenario-based methods, such as the Architecture </w:t>
      </w:r>
      <w:proofErr w:type="spellStart"/>
      <w:r w:rsidRPr="00007513">
        <w:t>Tradeoff</w:t>
      </w:r>
      <w:proofErr w:type="spellEnd"/>
      <w:r w:rsidRPr="00007513">
        <w:t xml:space="preserve"> Analysis Method (ATAM), and metric-based methods. </w:t>
      </w:r>
      <w:proofErr w:type="spellStart"/>
      <w:r w:rsidRPr="00007513">
        <w:t>CivicConnect’s</w:t>
      </w:r>
      <w:proofErr w:type="spellEnd"/>
      <w:r w:rsidRPr="00007513">
        <w:t xml:space="preserve"> table follows the metric-based approach, with one testable expectation associated with each driver. This allows the drivers to be evaluated at design time rather than being left as vague intentions.</w:t>
      </w:r>
    </w:p>
    <w:p w14:paraId="565FC624" w14:textId="77777777" w:rsidR="00007513" w:rsidRPr="00007513" w:rsidRDefault="00007513" w:rsidP="00007513">
      <w:proofErr w:type="spellStart"/>
      <w:r w:rsidRPr="00007513">
        <w:t>Losavio</w:t>
      </w:r>
      <w:proofErr w:type="spellEnd"/>
      <w:r w:rsidRPr="00007513">
        <w:t xml:space="preserve"> et al. (2004) reinforce that a scalability or performance target is only useful if it is expressed using an explicit attribute, unit, and scale.</w:t>
      </w:r>
    </w:p>
    <w:p w14:paraId="6669E9C7" w14:textId="77777777" w:rsidR="00007513" w:rsidRPr="00007513" w:rsidRDefault="00007513" w:rsidP="00007513">
      <w:pPr>
        <w:pStyle w:val="Heading3"/>
      </w:pPr>
      <w:r w:rsidRPr="00007513">
        <w:t>How drivers influence architecture, data, technology, and design</w:t>
      </w:r>
    </w:p>
    <w:p w14:paraId="083A67EA" w14:textId="77777777" w:rsidR="00007513" w:rsidRPr="00007513" w:rsidRDefault="00007513" w:rsidP="00007513">
      <w:pPr>
        <w:numPr>
          <w:ilvl w:val="0"/>
          <w:numId w:val="1"/>
        </w:numPr>
      </w:pPr>
      <w:r w:rsidRPr="00007513">
        <w:rPr>
          <w:b/>
        </w:rPr>
        <w:t xml:space="preserve">Architecture: </w:t>
      </w:r>
      <w:r w:rsidRPr="00007513">
        <w:t xml:space="preserve">Security (NFR-002/003) requires an explicit authorisation boundary. </w:t>
      </w:r>
      <w:proofErr w:type="spellStart"/>
      <w:r w:rsidRPr="00007513">
        <w:t>Sohofi</w:t>
      </w:r>
      <w:proofErr w:type="spellEnd"/>
      <w:r w:rsidRPr="00007513">
        <w:t xml:space="preserve"> &amp; </w:t>
      </w:r>
      <w:proofErr w:type="spellStart"/>
      <w:r w:rsidRPr="00007513">
        <w:t>Dehbashi</w:t>
      </w:r>
      <w:proofErr w:type="spellEnd"/>
      <w:r w:rsidRPr="00007513">
        <w:t xml:space="preserve"> </w:t>
      </w:r>
      <w:proofErr w:type="spellStart"/>
      <w:r w:rsidRPr="00007513">
        <w:t>Dezfouli's</w:t>
      </w:r>
      <w:proofErr w:type="spellEnd"/>
      <w:r w:rsidRPr="00007513">
        <w:t xml:space="preserve"> (2025) comparison of Discretionary Access Control (DAC), Mandatory Access Control (MAC), Role-Based Access Control (RBAC), and Attribute-Based Access Control (ABAC) supports choosing RBAC specifically for </w:t>
      </w:r>
      <w:proofErr w:type="spellStart"/>
      <w:r w:rsidRPr="00007513">
        <w:t>CivicConnect</w:t>
      </w:r>
      <w:proofErr w:type="spellEnd"/>
      <w:r w:rsidRPr="00007513">
        <w:t>, since its roles (requester, staff, administrator) map onto RBAC’s organisational-role model rather than ABAC’s finer-grained attribute logic.</w:t>
      </w:r>
    </w:p>
    <w:p w14:paraId="43B12FB5" w14:textId="77777777" w:rsidR="00007513" w:rsidRPr="00007513" w:rsidRDefault="00007513" w:rsidP="00007513">
      <w:pPr>
        <w:numPr>
          <w:ilvl w:val="0"/>
          <w:numId w:val="1"/>
        </w:numPr>
      </w:pPr>
      <w:r w:rsidRPr="00007513">
        <w:rPr>
          <w:b/>
        </w:rPr>
        <w:t>Data:</w:t>
      </w:r>
      <w:r w:rsidRPr="00007513">
        <w:t xml:space="preserve"> Data Integrity (NFR-004) and Auditability (NFR-009) both force every state-changing service to validate transitions and emit a lifecycle record- a data-model consequence, not just a validation-logic one.</w:t>
      </w:r>
    </w:p>
    <w:p w14:paraId="7F801954" w14:textId="77777777" w:rsidR="00007513" w:rsidRPr="00007513" w:rsidRDefault="00007513" w:rsidP="00007513">
      <w:pPr>
        <w:numPr>
          <w:ilvl w:val="0"/>
          <w:numId w:val="1"/>
        </w:numPr>
      </w:pPr>
      <w:r w:rsidRPr="00007513">
        <w:rPr>
          <w:b/>
        </w:rPr>
        <w:t>Technology:</w:t>
      </w:r>
      <w:r w:rsidRPr="00007513">
        <w:t xml:space="preserve"> Scalability (NFR-011) and Cost (NFR-012/CON-004) jointly constrain technology selection- a capacity target only means something once compared against a specific hosting tier’s limits and cost.</w:t>
      </w:r>
    </w:p>
    <w:p w14:paraId="70589EE7" w14:textId="77777777" w:rsidR="00007513" w:rsidRPr="00007513" w:rsidRDefault="00007513" w:rsidP="00007513">
      <w:pPr>
        <w:numPr>
          <w:ilvl w:val="0"/>
          <w:numId w:val="1"/>
        </w:numPr>
      </w:pPr>
      <w:r w:rsidRPr="00007513">
        <w:rPr>
          <w:b/>
        </w:rPr>
        <w:t xml:space="preserve">Design: </w:t>
      </w:r>
      <w:r w:rsidRPr="00007513">
        <w:t>Maintainability (NFR-010) forces component/module boundaries to be drawn deliberately, consistent with Silva et al.’s (2023) observation that maintainability is one of the quality attributes most commonly evaluated directly from the architecture description, before implementation exists.</w:t>
      </w:r>
    </w:p>
    <w:p w14:paraId="374D6B10" w14:textId="03A707DB" w:rsidR="000104FD" w:rsidRDefault="000104FD"/>
    <w:p w14:paraId="39E50120" w14:textId="2168F4AE" w:rsidR="001201FD" w:rsidRDefault="001201FD"/>
    <w:p w14:paraId="527F78B3" w14:textId="7F463B6C" w:rsidR="001201FD" w:rsidRDefault="001201FD"/>
    <w:p w14:paraId="44629A9E" w14:textId="15D266F5" w:rsidR="001201FD" w:rsidRDefault="001201FD"/>
    <w:p w14:paraId="43C48A63" w14:textId="65FDD972" w:rsidR="001201FD" w:rsidRDefault="001201FD"/>
    <w:p w14:paraId="568BD051" w14:textId="4CC38E77" w:rsidR="001201FD" w:rsidRDefault="001201FD"/>
    <w:p w14:paraId="053D394F" w14:textId="18CC4985" w:rsidR="001201FD" w:rsidRDefault="001201FD"/>
    <w:p w14:paraId="702D212B" w14:textId="0E5E751F" w:rsidR="001201FD" w:rsidRDefault="001201FD"/>
    <w:p w14:paraId="58BFDB89" w14:textId="5355F63A" w:rsidR="001201FD" w:rsidRDefault="001201FD"/>
    <w:p w14:paraId="23D3F8A5" w14:textId="15F6A929" w:rsidR="001201FD" w:rsidRDefault="001201FD"/>
    <w:p w14:paraId="32C44DDB" w14:textId="2FEB9ABC" w:rsidR="001201FD" w:rsidRDefault="001201FD"/>
    <w:p w14:paraId="6F0A6F94" w14:textId="7E677A72" w:rsidR="001201FD" w:rsidRDefault="001201FD"/>
    <w:p w14:paraId="62D16704" w14:textId="1B1BEC3D" w:rsidR="001201FD" w:rsidRDefault="001201FD" w:rsidP="001201FD">
      <w:pPr>
        <w:pStyle w:val="Heading1"/>
      </w:pPr>
      <w:r>
        <w:t>References</w:t>
      </w:r>
    </w:p>
    <w:sdt>
      <w:sdtPr>
        <w:id w:val="-573587230"/>
        <w:bibliography/>
      </w:sdtPr>
      <w:sdtContent>
        <w:p w14:paraId="665F83D2" w14:textId="77777777" w:rsidR="00D4463C" w:rsidRPr="00D4463C" w:rsidRDefault="00D4463C" w:rsidP="00D4463C">
          <w:r w:rsidRPr="00D4463C">
            <w:fldChar w:fldCharType="begin"/>
          </w:r>
          <w:r w:rsidRPr="00D4463C">
            <w:instrText xml:space="preserve"> BIBLIOGRAPHY </w:instrText>
          </w:r>
          <w:r w:rsidRPr="00D4463C">
            <w:fldChar w:fldCharType="separate"/>
          </w:r>
          <w:proofErr w:type="spellStart"/>
          <w:r w:rsidRPr="00D4463C">
            <w:t>Alvares</w:t>
          </w:r>
          <w:proofErr w:type="spellEnd"/>
          <w:r w:rsidRPr="00D4463C">
            <w:t xml:space="preserve">, S., 2025. </w:t>
          </w:r>
          <w:r w:rsidRPr="00D4463C">
            <w:rPr>
              <w:i/>
              <w:iCs/>
            </w:rPr>
            <w:t xml:space="preserve">medium. </w:t>
          </w:r>
          <w:r w:rsidRPr="00D4463C">
            <w:t xml:space="preserve">[Online] </w:t>
          </w:r>
          <w:r w:rsidRPr="00D4463C">
            <w:br/>
            <w:t xml:space="preserve">Available at: </w:t>
          </w:r>
          <w:r w:rsidRPr="00D4463C">
            <w:rPr>
              <w:u w:val="single"/>
            </w:rPr>
            <w:t>https://medium.com/beyond-the-brackets/the-monolith-layered-architecture-explained-f021568ae96a</w:t>
          </w:r>
          <w:r w:rsidRPr="00D4463C">
            <w:br/>
            <w:t xml:space="preserve">[Accessed 24 </w:t>
          </w:r>
          <w:proofErr w:type="spellStart"/>
          <w:r w:rsidRPr="00D4463C">
            <w:t>september</w:t>
          </w:r>
          <w:proofErr w:type="spellEnd"/>
          <w:r w:rsidRPr="00D4463C">
            <w:t xml:space="preserve"> 2026].</w:t>
          </w:r>
        </w:p>
        <w:p w14:paraId="7950F809" w14:textId="77777777" w:rsidR="00D4463C" w:rsidRPr="00D4463C" w:rsidRDefault="00D4463C" w:rsidP="00D4463C">
          <w:proofErr w:type="spellStart"/>
          <w:r w:rsidRPr="00D4463C">
            <w:t>Gudelli</w:t>
          </w:r>
          <w:proofErr w:type="spellEnd"/>
          <w:r w:rsidRPr="00D4463C">
            <w:t xml:space="preserve">, V. R., 2022. MICROSERVICE ARCHITECTURE: CHALLENGES, SOLUTIONS, AND BEST PRACTICES. </w:t>
          </w:r>
          <w:r w:rsidRPr="00D4463C">
            <w:rPr>
              <w:i/>
              <w:iCs/>
            </w:rPr>
            <w:t xml:space="preserve">International Research Journal of Modernization in Engineering Technology and </w:t>
          </w:r>
          <w:proofErr w:type="gramStart"/>
          <w:r w:rsidRPr="00D4463C">
            <w:rPr>
              <w:i/>
              <w:iCs/>
            </w:rPr>
            <w:t>Science ,</w:t>
          </w:r>
          <w:proofErr w:type="gramEnd"/>
          <w:r w:rsidRPr="00D4463C">
            <w:rPr>
              <w:i/>
              <w:iCs/>
            </w:rPr>
            <w:t xml:space="preserve"> </w:t>
          </w:r>
          <w:r w:rsidRPr="00D4463C">
            <w:t>VIII(7).</w:t>
          </w:r>
        </w:p>
        <w:p w14:paraId="32486EED" w14:textId="77777777" w:rsidR="00D4463C" w:rsidRPr="00D4463C" w:rsidRDefault="00D4463C" w:rsidP="00D4463C">
          <w:r w:rsidRPr="00D4463C">
            <w:t xml:space="preserve">HAJIPOOR, M., MOTAMENI, H. &amp; EBRAHIMNEJAD, A., 2025. A hybrid AHP-DEA approach for software architecture evaluation and selection. </w:t>
          </w:r>
          <w:proofErr w:type="spellStart"/>
          <w:r w:rsidRPr="00D4463C">
            <w:rPr>
              <w:i/>
              <w:iCs/>
            </w:rPr>
            <w:t>urkish</w:t>
          </w:r>
          <w:proofErr w:type="spellEnd"/>
          <w:r w:rsidRPr="00D4463C">
            <w:rPr>
              <w:i/>
              <w:iCs/>
            </w:rPr>
            <w:t xml:space="preserve"> Journal of Electrical Engineering and Computer Science, </w:t>
          </w:r>
          <w:r w:rsidRPr="00D4463C">
            <w:t>33(3), pp. 5-23.</w:t>
          </w:r>
        </w:p>
        <w:p w14:paraId="1FD4451A" w14:textId="77777777" w:rsidR="00D4463C" w:rsidRPr="00D4463C" w:rsidRDefault="00D4463C" w:rsidP="00D4463C">
          <w:proofErr w:type="spellStart"/>
          <w:r w:rsidRPr="00D4463C">
            <w:t>Hardzeenka</w:t>
          </w:r>
          <w:proofErr w:type="spellEnd"/>
          <w:r w:rsidRPr="00D4463C">
            <w:t xml:space="preserve">, I., n.d. </w:t>
          </w:r>
          <w:r w:rsidRPr="00D4463C">
            <w:rPr>
              <w:i/>
              <w:iCs/>
            </w:rPr>
            <w:t xml:space="preserve">software architecture guild. </w:t>
          </w:r>
          <w:r w:rsidRPr="00D4463C">
            <w:t xml:space="preserve">[Online] </w:t>
          </w:r>
          <w:r w:rsidRPr="00D4463C">
            <w:br/>
            <w:t xml:space="preserve">Available at: </w:t>
          </w:r>
          <w:r w:rsidRPr="00D4463C">
            <w:rPr>
              <w:u w:val="single"/>
            </w:rPr>
            <w:t>https://software-architecture-guild.com/guide/architecture/styles/layered-monolith/</w:t>
          </w:r>
          <w:r w:rsidRPr="00D4463C">
            <w:br/>
            <w:t xml:space="preserve">[Accessed 24 </w:t>
          </w:r>
          <w:proofErr w:type="spellStart"/>
          <w:r w:rsidRPr="00D4463C">
            <w:t>spetember</w:t>
          </w:r>
          <w:proofErr w:type="spellEnd"/>
          <w:r w:rsidRPr="00D4463C">
            <w:t xml:space="preserve"> 2026].</w:t>
          </w:r>
        </w:p>
        <w:p w14:paraId="2D6BC978" w14:textId="77777777" w:rsidR="00D4463C" w:rsidRPr="00D4463C" w:rsidRDefault="00D4463C" w:rsidP="00D4463C">
          <w:proofErr w:type="spellStart"/>
          <w:r w:rsidRPr="00D4463C">
            <w:t>Harikrishnan</w:t>
          </w:r>
          <w:proofErr w:type="spellEnd"/>
          <w:r w:rsidRPr="00D4463C">
            <w:t xml:space="preserve">, J., 2024. </w:t>
          </w:r>
          <w:proofErr w:type="spellStart"/>
          <w:r w:rsidRPr="00D4463C">
            <w:rPr>
              <w:i/>
              <w:iCs/>
            </w:rPr>
            <w:t>linkedin</w:t>
          </w:r>
          <w:proofErr w:type="spellEnd"/>
          <w:r w:rsidRPr="00D4463C">
            <w:rPr>
              <w:i/>
              <w:iCs/>
            </w:rPr>
            <w:t xml:space="preserve">. </w:t>
          </w:r>
          <w:r w:rsidRPr="00D4463C">
            <w:t xml:space="preserve">[Online] </w:t>
          </w:r>
          <w:r w:rsidRPr="00D4463C">
            <w:br/>
            <w:t xml:space="preserve">Available at: </w:t>
          </w:r>
          <w:r w:rsidRPr="00D4463C">
            <w:rPr>
              <w:u w:val="single"/>
            </w:rPr>
            <w:t>https://www.linkedin.com/pulse/architecturally-significant-requirements-asr-solution-harikrishnan-j-wkrsf</w:t>
          </w:r>
          <w:r w:rsidRPr="00D4463C">
            <w:br/>
            <w:t xml:space="preserve">[Accessed 26 </w:t>
          </w:r>
          <w:proofErr w:type="spellStart"/>
          <w:r w:rsidRPr="00D4463C">
            <w:t>september</w:t>
          </w:r>
          <w:proofErr w:type="spellEnd"/>
          <w:r w:rsidRPr="00D4463C">
            <w:t xml:space="preserve"> 2026].</w:t>
          </w:r>
        </w:p>
        <w:p w14:paraId="1B1CBDF6" w14:textId="77777777" w:rsidR="00D4463C" w:rsidRPr="00D4463C" w:rsidRDefault="00D4463C" w:rsidP="00D4463C">
          <w:proofErr w:type="spellStart"/>
          <w:r w:rsidRPr="00D4463C">
            <w:t>Hassouna</w:t>
          </w:r>
          <w:proofErr w:type="spellEnd"/>
          <w:r w:rsidRPr="00D4463C">
            <w:t xml:space="preserve">, A. B., 2025. The Architecture </w:t>
          </w:r>
          <w:proofErr w:type="spellStart"/>
          <w:r w:rsidRPr="00D4463C">
            <w:t>Treadeoff</w:t>
          </w:r>
          <w:proofErr w:type="spellEnd"/>
          <w:r w:rsidRPr="00D4463C">
            <w:t xml:space="preserve"> and Risk Analysis Framework (ATRAF): A unified approach for evaluating software arch</w:t>
          </w:r>
          <w:bookmarkStart w:id="0" w:name="_GoBack"/>
          <w:bookmarkEnd w:id="0"/>
          <w:r w:rsidRPr="00D4463C">
            <w:t xml:space="preserve">itectures, reference architectures, and </w:t>
          </w:r>
          <w:proofErr w:type="spellStart"/>
          <w:r w:rsidRPr="00D4463C">
            <w:t>architectura</w:t>
          </w:r>
          <w:proofErr w:type="spellEnd"/>
          <w:r w:rsidRPr="00D4463C">
            <w:t>; frameworks. pp. 1-2.</w:t>
          </w:r>
        </w:p>
        <w:p w14:paraId="38B05724" w14:textId="77777777" w:rsidR="00D4463C" w:rsidRPr="00D4463C" w:rsidRDefault="00D4463C" w:rsidP="00D4463C">
          <w:r w:rsidRPr="00D4463C">
            <w:t xml:space="preserve">HERMANOVÁ, K., 2024. </w:t>
          </w:r>
          <w:r w:rsidRPr="00D4463C">
            <w:rPr>
              <w:i/>
              <w:iCs/>
            </w:rPr>
            <w:t xml:space="preserve">Microservices Migration Process to Spring Boot and </w:t>
          </w:r>
          <w:proofErr w:type="spellStart"/>
          <w:r w:rsidRPr="00D4463C">
            <w:rPr>
              <w:i/>
              <w:iCs/>
            </w:rPr>
            <w:t>Quarkus</w:t>
          </w:r>
          <w:proofErr w:type="spellEnd"/>
          <w:r w:rsidRPr="00D4463C">
            <w:rPr>
              <w:i/>
              <w:iCs/>
            </w:rPr>
            <w:t xml:space="preserve">, </w:t>
          </w:r>
          <w:r w:rsidRPr="00D4463C">
            <w:t>Brno: Masaryk University.</w:t>
          </w:r>
        </w:p>
        <w:p w14:paraId="600BD293" w14:textId="77777777" w:rsidR="00D4463C" w:rsidRPr="00D4463C" w:rsidRDefault="00D4463C" w:rsidP="00D4463C">
          <w:proofErr w:type="spellStart"/>
          <w:r w:rsidRPr="00D4463C">
            <w:t>Mili´</w:t>
          </w:r>
          <w:proofErr w:type="gramStart"/>
          <w:r w:rsidRPr="00D4463C">
            <w:t>c</w:t>
          </w:r>
          <w:proofErr w:type="spellEnd"/>
          <w:r w:rsidRPr="00D4463C">
            <w:t xml:space="preserve"> ,</w:t>
          </w:r>
          <w:proofErr w:type="gramEnd"/>
          <w:r w:rsidRPr="00D4463C">
            <w:t xml:space="preserve"> M. &amp; </w:t>
          </w:r>
          <w:proofErr w:type="spellStart"/>
          <w:r w:rsidRPr="00D4463C">
            <w:t>Makaji´c-Nikoli´c</w:t>
          </w:r>
          <w:proofErr w:type="spellEnd"/>
          <w:r w:rsidRPr="00D4463C">
            <w:t xml:space="preserve">, D., 2022. Development of a Quality-Based Model for Software Architecture Optimization: A Case Study of Monolith and Microservice Architectures. </w:t>
          </w:r>
          <w:r w:rsidRPr="00D4463C">
            <w:rPr>
              <w:i/>
              <w:iCs/>
            </w:rPr>
            <w:t xml:space="preserve">Symmetry, </w:t>
          </w:r>
          <w:r w:rsidRPr="00D4463C">
            <w:t>pp. 1-26.</w:t>
          </w:r>
        </w:p>
        <w:p w14:paraId="409A2AB8" w14:textId="77777777" w:rsidR="00D4463C" w:rsidRPr="00D4463C" w:rsidRDefault="00D4463C" w:rsidP="00D4463C">
          <w:proofErr w:type="spellStart"/>
          <w:r w:rsidRPr="00D4463C">
            <w:t>Ozkaya</w:t>
          </w:r>
          <w:proofErr w:type="spellEnd"/>
          <w:r w:rsidRPr="00D4463C">
            <w:t xml:space="preserve">, M., 2023. </w:t>
          </w:r>
          <w:r w:rsidRPr="00D4463C">
            <w:rPr>
              <w:i/>
              <w:iCs/>
            </w:rPr>
            <w:t xml:space="preserve">medium. </w:t>
          </w:r>
          <w:r w:rsidRPr="00D4463C">
            <w:t xml:space="preserve">[Online] </w:t>
          </w:r>
          <w:r w:rsidRPr="00D4463C">
            <w:br/>
            <w:t xml:space="preserve">Available at: </w:t>
          </w:r>
          <w:r w:rsidRPr="00D4463C">
            <w:rPr>
              <w:u w:val="single"/>
            </w:rPr>
            <w:t>https://medium.com/design-microservices-architecture-with-patterns/microservices-killer-modular-monolithic-architecture-ac83814f6862</w:t>
          </w:r>
          <w:r w:rsidRPr="00D4463C">
            <w:br/>
            <w:t xml:space="preserve">[Accessed 25 </w:t>
          </w:r>
          <w:proofErr w:type="spellStart"/>
          <w:r w:rsidRPr="00D4463C">
            <w:t>september</w:t>
          </w:r>
          <w:proofErr w:type="spellEnd"/>
          <w:r w:rsidRPr="00D4463C">
            <w:t xml:space="preserve"> 2026].</w:t>
          </w:r>
        </w:p>
        <w:p w14:paraId="75659C19" w14:textId="77777777" w:rsidR="00D4463C" w:rsidRPr="00D4463C" w:rsidRDefault="00D4463C" w:rsidP="00D4463C">
          <w:r w:rsidRPr="00D4463C">
            <w:t xml:space="preserve">TaeiZadeh1, A., Lotfi2, Z. &amp; Ramadhan1, A., 2024. Microservices Boundary Determination Migration in DevOps: </w:t>
          </w:r>
          <w:proofErr w:type="gramStart"/>
          <w:r w:rsidRPr="00D4463C">
            <w:t>a</w:t>
          </w:r>
          <w:proofErr w:type="gramEnd"/>
          <w:r w:rsidRPr="00D4463C">
            <w:t xml:space="preserve"> Case Study. </w:t>
          </w:r>
          <w:r w:rsidRPr="00D4463C">
            <w:rPr>
              <w:i/>
              <w:iCs/>
            </w:rPr>
            <w:t xml:space="preserve">BIO Web of Conferences, </w:t>
          </w:r>
          <w:r w:rsidRPr="00D4463C">
            <w:t>Volume 97, pp. 1-20.</w:t>
          </w:r>
        </w:p>
        <w:p w14:paraId="56226151" w14:textId="77777777" w:rsidR="00D4463C" w:rsidRPr="00D4463C" w:rsidRDefault="00D4463C" w:rsidP="00D4463C">
          <w:r w:rsidRPr="00D4463C">
            <w:fldChar w:fldCharType="end"/>
          </w:r>
          <w:proofErr w:type="spellStart"/>
          <w:r w:rsidRPr="00D4463C">
            <w:t>Vilakazi</w:t>
          </w:r>
          <w:proofErr w:type="spellEnd"/>
          <w:r w:rsidRPr="00D4463C">
            <w:t xml:space="preserve">, O., Ince, L.A. and Phahladira, T. (2026) </w:t>
          </w:r>
          <w:proofErr w:type="spellStart"/>
          <w:r w:rsidRPr="00D4463C">
            <w:rPr>
              <w:i/>
              <w:iCs/>
            </w:rPr>
            <w:t>CivicConnect</w:t>
          </w:r>
          <w:proofErr w:type="spellEnd"/>
          <w:r w:rsidRPr="00D4463C">
            <w:rPr>
              <w:i/>
              <w:iCs/>
            </w:rPr>
            <w:t>: Research-Informed Software Engineering Decisions</w:t>
          </w:r>
          <w:r w:rsidRPr="00D4463C">
            <w:t xml:space="preserve">. Unpublished assignment, SEN381 Assignment 2, Belgium Campus </w:t>
          </w:r>
          <w:proofErr w:type="spellStart"/>
          <w:r w:rsidRPr="00D4463C">
            <w:t>ITversity</w:t>
          </w:r>
          <w:proofErr w:type="spellEnd"/>
          <w:r w:rsidRPr="00D4463C">
            <w:t>.</w:t>
          </w:r>
        </w:p>
      </w:sdtContent>
    </w:sdt>
    <w:p w14:paraId="19429CDB" w14:textId="77777777" w:rsidR="001201FD" w:rsidRPr="001201FD" w:rsidRDefault="001201FD" w:rsidP="001201FD"/>
    <w:sectPr w:rsidR="001201FD" w:rsidRPr="00120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313156"/>
    <w:multiLevelType w:val="hybridMultilevel"/>
    <w:tmpl w:val="C576B1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513"/>
    <w:rsid w:val="00007513"/>
    <w:rsid w:val="000104FD"/>
    <w:rsid w:val="001201FD"/>
    <w:rsid w:val="00D4463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91BE"/>
  <w15:chartTrackingRefBased/>
  <w15:docId w15:val="{B4B79547-C541-46DB-929A-5129F713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1F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0751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0751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07513"/>
    <w:rPr>
      <w:b/>
      <w:bCs/>
    </w:rPr>
  </w:style>
  <w:style w:type="table" w:styleId="TableGridLight">
    <w:name w:val="Grid Table Light"/>
    <w:basedOn w:val="TableNormal"/>
    <w:uiPriority w:val="40"/>
    <w:rsid w:val="000075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rsid w:val="0000751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07513"/>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1201F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2656512">
      <w:bodyDiv w:val="1"/>
      <w:marLeft w:val="0"/>
      <w:marRight w:val="0"/>
      <w:marTop w:val="0"/>
      <w:marBottom w:val="0"/>
      <w:divBdr>
        <w:top w:val="none" w:sz="0" w:space="0" w:color="auto"/>
        <w:left w:val="none" w:sz="0" w:space="0" w:color="auto"/>
        <w:bottom w:val="none" w:sz="0" w:space="0" w:color="auto"/>
        <w:right w:val="none" w:sz="0" w:space="0" w:color="auto"/>
      </w:divBdr>
    </w:div>
    <w:div w:id="1873613319">
      <w:bodyDiv w:val="1"/>
      <w:marLeft w:val="0"/>
      <w:marRight w:val="0"/>
      <w:marTop w:val="0"/>
      <w:marBottom w:val="0"/>
      <w:divBdr>
        <w:top w:val="none" w:sz="0" w:space="0" w:color="auto"/>
        <w:left w:val="none" w:sz="0" w:space="0" w:color="auto"/>
        <w:bottom w:val="none" w:sz="0" w:space="0" w:color="auto"/>
        <w:right w:val="none" w:sz="0" w:space="0" w:color="auto"/>
      </w:divBdr>
    </w:div>
    <w:div w:id="194349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Har24</b:Tag>
    <b:SourceType>InternetSite</b:SourceType>
    <b:Guid>{450562CA-29CE-46C7-81B3-621C07F196F3}</b:Guid>
    <b:Title>linkedin</b:Title>
    <b:Year>2024</b:Year>
    <b:YearAccessed>2026</b:YearAccessed>
    <b:MonthAccessed>september</b:MonthAccessed>
    <b:DayAccessed>26</b:DayAccessed>
    <b:URL>https://www.linkedin.com/pulse/architecturally-significant-requirements-asr-solution-harikrishnan-j-wkrsf</b:URL>
    <b:Author>
      <b:Author>
        <b:NameList>
          <b:Person>
            <b:Last>Harikrishnan</b:Last>
            <b:First>J</b:First>
          </b:Person>
        </b:NameList>
      </b:Author>
    </b:Author>
    <b:RefOrder>1</b:RefOrder>
  </b:Source>
  <b:Source>
    <b:Tag>Has25</b:Tag>
    <b:SourceType>JournalArticle</b:SourceType>
    <b:Guid>{C9B7CEEF-8A84-4D98-A3CC-C6C6C8828831}</b:Guid>
    <b:Title>The Architecture Treadeoff and Risk Analysis Framework (ATRAF): A unified approach for evaluating software architectures, reference architectures, and architectura; frameworks</b:Title>
    <b:Year>2025</b:Year>
    <b:Pages>1-2</b:Pages>
    <b:Author>
      <b:Author>
        <b:NameList>
          <b:Person>
            <b:Last>Hassouna</b:Last>
            <b:Middle>Ben</b:Middle>
            <b:First>Amine</b:First>
          </b:Person>
        </b:NameList>
      </b:Author>
    </b:Author>
    <b:RefOrder>2</b:RefOrder>
  </b:Source>
  <b:Source>
    <b:Tag>HAJ25</b:Tag>
    <b:SourceType>JournalArticle</b:SourceType>
    <b:Guid>{52E2490F-3189-400D-858D-4FF924154452}</b:Guid>
    <b:Title>A hybrid AHP-DEA approach for software architecture evaluation and selection</b:Title>
    <b:JournalName>urkish Journal of Electrical Engineering and Computer Science</b:JournalName>
    <b:Year>2025</b:Year>
    <b:Pages>5-23</b:Pages>
    <b:Volume>33</b:Volume>
    <b:Issue>3</b:Issue>
    <b:Author>
      <b:Author>
        <b:NameList>
          <b:Person>
            <b:Last>HAJIPOOR</b:Last>
            <b:First>MEHRAN</b:First>
          </b:Person>
          <b:Person>
            <b:Last>MOTAMENI</b:Last>
            <b:First>HOMAYUN</b:First>
          </b:Person>
          <b:Person>
            <b:Last>EBRAHIMNEJAD</b:Last>
            <b:First>ALİ</b:First>
          </b:Person>
        </b:NameList>
      </b:Author>
    </b:Author>
    <b:RefOrder>3</b:RefOrder>
  </b:Source>
  <b:Source>
    <b:Tag>Har26</b:Tag>
    <b:SourceType>InternetSite</b:SourceType>
    <b:Guid>{3594F9F0-DB26-42AD-95C6-E953C0818F2B}</b:Guid>
    <b:Title>software architecture guild</b:Title>
    <b:YearAccessed>2026</b:YearAccessed>
    <b:MonthAccessed>spetember</b:MonthAccessed>
    <b:DayAccessed>24</b:DayAccessed>
    <b:URL>https://software-architecture-guild.com/guide/architecture/styles/layered-monolith/</b:URL>
    <b:Author>
      <b:Author>
        <b:NameList>
          <b:Person>
            <b:Last>Hardzeenka</b:Last>
            <b:First>Ilya </b:First>
          </b:Person>
        </b:NameList>
      </b:Author>
    </b:Author>
    <b:RefOrder>4</b:RefOrder>
  </b:Source>
  <b:Source>
    <b:Tag>Alv25</b:Tag>
    <b:SourceType>InternetSite</b:SourceType>
    <b:Guid>{92B0F583-ED00-4361-BC91-F0D513C9D26B}</b:Guid>
    <b:Title>medium</b:Title>
    <b:Year>2025</b:Year>
    <b:YearAccessed>2026</b:YearAccessed>
    <b:MonthAccessed>september</b:MonthAccessed>
    <b:DayAccessed>24</b:DayAccessed>
    <b:URL>https://medium.com/beyond-the-brackets/the-monolith-layered-architecture-explained-f021568ae96a</b:URL>
    <b:Author>
      <b:Author>
        <b:NameList>
          <b:Person>
            <b:Last>Alvares</b:Last>
            <b:First>Stefano</b:First>
          </b:Person>
        </b:NameList>
      </b:Author>
    </b:Author>
    <b:RefOrder>5</b:RefOrder>
  </b:Source>
  <b:Source>
    <b:Tag>HER24</b:Tag>
    <b:SourceType>Report</b:SourceType>
    <b:Guid>{1B1B9898-B448-4030-9574-C8D2E55E30BD}</b:Guid>
    <b:Title>Microservices Migration Process to Spring Boot and Quarkus</b:Title>
    <b:Year>2024</b:Year>
    <b:Publisher>Masaryk University</b:Publisher>
    <b:City>Brno</b:City>
    <b:Author>
      <b:Author>
        <b:NameList>
          <b:Person>
            <b:Last>HERMANOVÁ</b:Last>
            <b:First>KATARÍNA</b:First>
          </b:Person>
        </b:NameList>
      </b:Author>
    </b:Author>
    <b:RefOrder>7</b:RefOrder>
  </b:Source>
  <b:Source>
    <b:Tag>Ozk23</b:Tag>
    <b:SourceType>InternetSite</b:SourceType>
    <b:Guid>{0757D0AD-2972-4B75-808B-8360FD1B603F}</b:Guid>
    <b:Title>medium</b:Title>
    <b:Year>2023</b:Year>
    <b:YearAccessed>2026</b:YearAccessed>
    <b:MonthAccessed>september</b:MonthAccessed>
    <b:DayAccessed>25</b:DayAccessed>
    <b:URL>https://medium.com/design-microservices-architecture-with-patterns/microservices-killer-modular-monolithic-architecture-ac83814f6862</b:URL>
    <b:Author>
      <b:Author>
        <b:NameList>
          <b:Person>
            <b:Last>Ozkaya</b:Last>
            <b:First>Mehmet</b:First>
          </b:Person>
        </b:NameList>
      </b:Author>
    </b:Author>
    <b:RefOrder>6</b:RefOrder>
  </b:Source>
  <b:Source>
    <b:Tag>Mil22</b:Tag>
    <b:SourceType>JournalArticle</b:SourceType>
    <b:Guid>{5299F087-7FB8-465B-8D34-EF070FD40EDD}</b:Guid>
    <b:Title>Development of a Quality-Based Model for Software Architecture Optimization: A Case Study of Monolith and Microservice Architectures</b:Title>
    <b:Year>2022</b:Year>
    <b:Author>
      <b:Author>
        <b:NameList>
          <b:Person>
            <b:Last>Mili´c </b:Last>
            <b:First>Miloš</b:First>
          </b:Person>
          <b:Person>
            <b:Last>Makaji´c-Nikoli´c</b:Last>
            <b:First>Dragana</b:First>
          </b:Person>
        </b:NameList>
      </b:Author>
    </b:Author>
    <b:JournalName>Symmetry</b:JournalName>
    <b:Pages>1-26</b:Pages>
    <b:RefOrder>8</b:RefOrder>
  </b:Source>
  <b:Source>
    <b:Tag>Tae24</b:Tag>
    <b:SourceType>JournalArticle</b:SourceType>
    <b:Guid>{1BDB7572-B128-4FB3-8AD4-AF31978552C8}</b:Guid>
    <b:Title>Microservices Boundary Determination Migration in DevOps: a Case Study</b:Title>
    <b:Year>2024</b:Year>
    <b:Author>
      <b:Author>
        <b:NameList>
          <b:Person>
            <b:Last>TaeiZadeh1</b:Last>
            <b:First>Ali</b:First>
          </b:Person>
          <b:Person>
            <b:Last>Lotfi2</b:Last>
            <b:First>Zahra</b:First>
          </b:Person>
          <b:Person>
            <b:Last>Ramadhan1</b:Last>
            <b:First>Ali</b:First>
          </b:Person>
        </b:NameList>
      </b:Author>
    </b:Author>
    <b:JournalName>BIO Web of Conferences</b:JournalName>
    <b:Pages>1-20</b:Pages>
    <b:Volume>97</b:Volume>
    <b:RefOrder>9</b:RefOrder>
  </b:Source>
  <b:Source>
    <b:Tag>Gud22</b:Tag>
    <b:SourceType>JournalArticle</b:SourceType>
    <b:Guid>{B172A2AA-0B3F-4BD8-9FD7-5EA37ABEACD1}</b:Guid>
    <b:Title>MICROSERVICE ARCHITECTURE: CHALLENGES, SOLUTIONS, AND BEST PRACTICES</b:Title>
    <b:JournalName>International Research Journal of Modernization in Engineering Technology and Science </b:JournalName>
    <b:Year>2022</b:Year>
    <b:Volume>VIII</b:Volume>
    <b:Issue>7</b:Issue>
    <b:Author>
      <b:Author>
        <b:NameList>
          <b:Person>
            <b:Last>Gudelli</b:Last>
            <b:Middle>Ramana</b:Middle>
            <b:First>Venkata</b:First>
          </b:Person>
        </b:NameList>
      </b:Author>
    </b:Author>
    <b:RefOrder>10</b:RefOrder>
  </b:Source>
</b:Sources>
</file>

<file path=customXml/itemProps1.xml><?xml version="1.0" encoding="utf-8"?>
<ds:datastoreItem xmlns:ds="http://schemas.openxmlformats.org/officeDocument/2006/customXml" ds:itemID="{9186336B-9BEC-4475-ACB6-046CF94E4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1147</Words>
  <Characters>6542</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Measurable or testable expectations</vt:lpstr>
      <vt:lpstr>        How drivers influence architecture, data, technology, and design</vt:lpstr>
      <vt:lpstr>References</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Tetelo Phahladira</dc:creator>
  <cp:keywords/>
  <dc:description/>
  <cp:lastModifiedBy>Tetelo Phahladira</cp:lastModifiedBy>
  <cp:revision>1</cp:revision>
  <dcterms:created xsi:type="dcterms:W3CDTF">2026-09-29T11:22:00Z</dcterms:created>
  <dcterms:modified xsi:type="dcterms:W3CDTF">2026-09-29T15:49:00Z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1aadf3b2-ca9c-418a-977e-1eee6048dd84</vt:lpwstr>
  </property>
</Properties>
</file>