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2BA1E2" w14:textId="20A9D5D2" w:rsidR="00E26555" w:rsidRDefault="004460D4" w:rsidP="0078752D">
      <w:pPr>
        <w:pStyle w:val="Heading2"/>
      </w:pPr>
      <w:r>
        <w:t>Architecture Alternatives and Selection</w:t>
      </w:r>
    </w:p>
    <w:p w14:paraId="21C44441" w14:textId="2A88DED1" w:rsidR="004C6278" w:rsidRDefault="008A47D5" w:rsidP="004C6278">
      <w:r>
        <w:t>M</w:t>
      </w:r>
      <w:r w:rsidR="004C6278" w:rsidRPr="004C6278">
        <w:t>odern software systems depend more and more on organised architectural principles to control complexity, facilitate reuse, and direct quality-driven design</w:t>
      </w:r>
      <w:r>
        <w:t xml:space="preserve"> </w:t>
      </w:r>
      <w:sdt>
        <w:sdtPr>
          <w:id w:val="-1852485150"/>
          <w:citation/>
        </w:sdtPr>
        <w:sdtEndPr/>
        <w:sdtContent>
          <w:r>
            <w:fldChar w:fldCharType="begin"/>
          </w:r>
          <w:r>
            <w:instrText xml:space="preserve"> CITATION Has25 \l 7177 </w:instrText>
          </w:r>
          <w:r>
            <w:fldChar w:fldCharType="separate"/>
          </w:r>
          <w:r w:rsidR="00F00B5E" w:rsidRPr="00F00B5E">
            <w:rPr>
              <w:noProof/>
            </w:rPr>
            <w:t>(Hassouna, 2025)</w:t>
          </w:r>
          <w:r>
            <w:fldChar w:fldCharType="end"/>
          </w:r>
        </w:sdtContent>
      </w:sdt>
      <w:r w:rsidR="004C6278" w:rsidRPr="004C6278">
        <w:t>.</w:t>
      </w:r>
      <w:r w:rsidR="0009638E">
        <w:t xml:space="preserve">  Software architecture is a high-level abstraction of a s system that depicts system structure </w:t>
      </w:r>
      <w:sdt>
        <w:sdtPr>
          <w:id w:val="2127969996"/>
          <w:citation/>
        </w:sdtPr>
        <w:sdtEndPr/>
        <w:sdtContent>
          <w:r w:rsidR="0009638E">
            <w:fldChar w:fldCharType="begin"/>
          </w:r>
          <w:r w:rsidR="0009638E">
            <w:instrText xml:space="preserve"> CITATION HAJ25 \l 7177 </w:instrText>
          </w:r>
          <w:r w:rsidR="0009638E">
            <w:fldChar w:fldCharType="separate"/>
          </w:r>
          <w:r w:rsidR="00F00B5E" w:rsidRPr="00F00B5E">
            <w:rPr>
              <w:noProof/>
            </w:rPr>
            <w:t>(HAJIPOOR, et al., 2025)</w:t>
          </w:r>
          <w:r w:rsidR="0009638E">
            <w:fldChar w:fldCharType="end"/>
          </w:r>
        </w:sdtContent>
      </w:sdt>
      <w:r w:rsidR="0009638E">
        <w:t xml:space="preserve">. </w:t>
      </w:r>
    </w:p>
    <w:p w14:paraId="1897E4B9" w14:textId="27ACF676" w:rsidR="00DF6FD5" w:rsidRDefault="00DF6FD5" w:rsidP="00DF6FD5">
      <w:pPr>
        <w:pStyle w:val="Heading3"/>
      </w:pPr>
      <w:r>
        <w:t>Layered Monolithic Architecture</w:t>
      </w:r>
    </w:p>
    <w:p w14:paraId="1A66EB4B" w14:textId="6BE43D2F" w:rsidR="001A169D" w:rsidRDefault="00DF6FD5" w:rsidP="00DF6FD5">
      <w:r>
        <w:t xml:space="preserve">An architecture that allows for a single deployable application organised into a small set of horizontal layers with clear responsibilities </w:t>
      </w:r>
      <w:sdt>
        <w:sdtPr>
          <w:id w:val="1082337426"/>
          <w:citation/>
        </w:sdtPr>
        <w:sdtEndPr/>
        <w:sdtContent>
          <w:r>
            <w:fldChar w:fldCharType="begin"/>
          </w:r>
          <w:r>
            <w:instrText xml:space="preserve"> CITATION Har26 \l 7177 </w:instrText>
          </w:r>
          <w:r>
            <w:fldChar w:fldCharType="separate"/>
          </w:r>
          <w:r w:rsidR="00F00B5E" w:rsidRPr="00F00B5E">
            <w:rPr>
              <w:noProof/>
            </w:rPr>
            <w:t>(Hardzeenka, n.d.)</w:t>
          </w:r>
          <w:r>
            <w:fldChar w:fldCharType="end"/>
          </w:r>
        </w:sdtContent>
      </w:sdt>
      <w:r>
        <w:t xml:space="preserve">. The code is grouped into layers, namely the presentation layer (UI), application/service layer (Business logic), and Data Access Layer </w:t>
      </w:r>
      <w:sdt>
        <w:sdtPr>
          <w:id w:val="-1498189086"/>
          <w:citation/>
        </w:sdtPr>
        <w:sdtEndPr/>
        <w:sdtContent>
          <w:r w:rsidR="001A169D">
            <w:fldChar w:fldCharType="begin"/>
          </w:r>
          <w:r w:rsidR="001A169D">
            <w:instrText xml:space="preserve"> CITATION Alv25 \l 7177 </w:instrText>
          </w:r>
          <w:r w:rsidR="001A169D">
            <w:fldChar w:fldCharType="separate"/>
          </w:r>
          <w:r w:rsidR="00F00B5E" w:rsidRPr="00F00B5E">
            <w:rPr>
              <w:noProof/>
            </w:rPr>
            <w:t>(Alvares, 2025)</w:t>
          </w:r>
          <w:r w:rsidR="001A169D">
            <w:fldChar w:fldCharType="end"/>
          </w:r>
        </w:sdtContent>
      </w:sdt>
      <w:r>
        <w:t>.</w:t>
      </w:r>
    </w:p>
    <w:p w14:paraId="5BD9EEB4" w14:textId="3333FFA9" w:rsidR="001A169D" w:rsidRDefault="001A169D" w:rsidP="001A169D">
      <w:pPr>
        <w:pStyle w:val="Heading5"/>
        <w:numPr>
          <w:ilvl w:val="0"/>
          <w:numId w:val="1"/>
        </w:numPr>
      </w:pPr>
      <w:r>
        <w:t>Team capability</w:t>
      </w:r>
      <w:r w:rsidR="00DF6FD5">
        <w:t xml:space="preserve"> </w:t>
      </w:r>
    </w:p>
    <w:p w14:paraId="6CE3B555" w14:textId="572E4959" w:rsidR="001A169D" w:rsidRDefault="001A169D" w:rsidP="001A169D">
      <w:r>
        <w:t>PED document has CON-003, which restricts development to exactly three development members and explicitly requires the scope and division of work to remain realistic for that team. This architecture would provide the team of this size with logical modularity without forcing distributed-system operations onto the project.</w:t>
      </w:r>
    </w:p>
    <w:p w14:paraId="25C0B88B" w14:textId="67043AB1" w:rsidR="001A169D" w:rsidRDefault="001A169D" w:rsidP="001A169D">
      <w:pPr>
        <w:pStyle w:val="Heading5"/>
        <w:numPr>
          <w:ilvl w:val="0"/>
          <w:numId w:val="1"/>
        </w:numPr>
      </w:pPr>
      <w:r>
        <w:t xml:space="preserve">Deployment </w:t>
      </w:r>
    </w:p>
    <w:p w14:paraId="6A41E070" w14:textId="0488C0EB" w:rsidR="001A169D" w:rsidRDefault="00CD30F1" w:rsidP="0018282D">
      <w:r>
        <w:t>SEN Greats report (Assignment 2) defines an in-process approach as components running in the same application and being built and deployed together as one unit.</w:t>
      </w:r>
      <w:r w:rsidR="0018282D">
        <w:t xml:space="preserve"> Constraint CON-004 in the PED document outlines that free or low-cost development, hosting, and supporting services should be preferred where practical.</w:t>
      </w:r>
    </w:p>
    <w:p w14:paraId="0D5D992B" w14:textId="3FB78A0D" w:rsidR="0018282D" w:rsidRDefault="0018282D" w:rsidP="0018282D">
      <w:r>
        <w:t>A trade-off that might be experienced with a single deployment unit is that a change to one component means redeploying the entire application.</w:t>
      </w:r>
    </w:p>
    <w:p w14:paraId="7F37EE8F" w14:textId="1F3696CB" w:rsidR="0018282D" w:rsidRDefault="0018282D" w:rsidP="0018282D">
      <w:pPr>
        <w:pStyle w:val="Heading5"/>
        <w:numPr>
          <w:ilvl w:val="0"/>
          <w:numId w:val="1"/>
        </w:numPr>
      </w:pPr>
      <w:r>
        <w:t>Complexity</w:t>
      </w:r>
    </w:p>
    <w:p w14:paraId="0C43B86D" w14:textId="6E3C0C02" w:rsidR="0018282D" w:rsidRDefault="00286F34" w:rsidP="0018282D">
      <w:r>
        <w:t xml:space="preserve">NFR-010, documented in the PED, explicitly states that the system should remain modular and allow one area to change without unnecessary changes to unrelated areas. </w:t>
      </w:r>
      <w:proofErr w:type="spellStart"/>
      <w:r>
        <w:t>Hermanova</w:t>
      </w:r>
      <w:proofErr w:type="spellEnd"/>
      <w:r>
        <w:t xml:space="preserve"> (2024) mentions in their report that one purpose of software architecture is controlling and mitigating conceptual complexity and specifically identifies layered architecture as increasing maintainability, security, and flexibility.</w:t>
      </w:r>
    </w:p>
    <w:p w14:paraId="7AC3ABDE" w14:textId="0A95FFF8" w:rsidR="007B4908" w:rsidRDefault="00286F34" w:rsidP="0018282D">
      <w:r>
        <w:t xml:space="preserve">However, a monolith presents a risk of the system being tightly coupled. The research done by the team (Assignment 2) documents </w:t>
      </w:r>
      <w:r w:rsidR="0060171E">
        <w:t>tight coupling as one of the design risks; hence DIP was recommended as a design strategy</w:t>
      </w:r>
      <w:r w:rsidR="00E80318">
        <w:t xml:space="preserve">. </w:t>
      </w:r>
    </w:p>
    <w:p w14:paraId="7C524949" w14:textId="3B94CFEC" w:rsidR="00DC47B8" w:rsidRDefault="00DC47B8" w:rsidP="00DC47B8">
      <w:pPr>
        <w:pStyle w:val="Heading2"/>
      </w:pPr>
      <w:r>
        <w:t>Modular Monolith</w:t>
      </w:r>
    </w:p>
    <w:p w14:paraId="56F961E1" w14:textId="2AD32A04" w:rsidR="001022DD" w:rsidRDefault="00CB56B3" w:rsidP="001022DD">
      <w:r>
        <w:t xml:space="preserve">Described as a software architecture that combines the benefits of modular design with the simplicity of a monolithic architecture, Modular monolith architecture involves dividing the system into a set of loosely coupled modules </w:t>
      </w:r>
      <w:sdt>
        <w:sdtPr>
          <w:id w:val="-965189016"/>
          <w:citation/>
        </w:sdtPr>
        <w:sdtEndPr/>
        <w:sdtContent>
          <w:r>
            <w:fldChar w:fldCharType="begin"/>
          </w:r>
          <w:r>
            <w:instrText xml:space="preserve"> CITATION Ozk23 \l 7177 </w:instrText>
          </w:r>
          <w:r>
            <w:fldChar w:fldCharType="separate"/>
          </w:r>
          <w:r w:rsidR="00F00B5E" w:rsidRPr="00F00B5E">
            <w:rPr>
              <w:noProof/>
            </w:rPr>
            <w:t>(Ozkaya, 2023)</w:t>
          </w:r>
          <w:r>
            <w:fldChar w:fldCharType="end"/>
          </w:r>
        </w:sdtContent>
      </w:sdt>
      <w:r>
        <w:t xml:space="preserve">. </w:t>
      </w:r>
    </w:p>
    <w:p w14:paraId="0C4CAC92" w14:textId="2C6B8914" w:rsidR="00CB56B3" w:rsidRDefault="00CB56B3" w:rsidP="001022DD">
      <w:r>
        <w:t xml:space="preserve">The main benefit of such an architecture is the business </w:t>
      </w:r>
      <w:r w:rsidR="00456A7E">
        <w:t>logic is</w:t>
      </w:r>
      <w:r>
        <w:t xml:space="preserve"> encapsulated in Modules, thus increasing reusability while data remains </w:t>
      </w:r>
      <w:r w:rsidR="00456A7E">
        <w:t xml:space="preserve">consistent and communication patterns simple </w:t>
      </w:r>
      <w:sdt>
        <w:sdtPr>
          <w:id w:val="-1240705819"/>
          <w:citation/>
        </w:sdtPr>
        <w:sdtEndPr/>
        <w:sdtContent>
          <w:r w:rsidR="00456A7E">
            <w:fldChar w:fldCharType="begin"/>
          </w:r>
          <w:r w:rsidR="00456A7E">
            <w:instrText xml:space="preserve"> CITATION Ozk23 \l 7177 </w:instrText>
          </w:r>
          <w:r w:rsidR="00456A7E">
            <w:fldChar w:fldCharType="separate"/>
          </w:r>
          <w:r w:rsidR="00F00B5E" w:rsidRPr="00F00B5E">
            <w:rPr>
              <w:noProof/>
            </w:rPr>
            <w:t>(Ozkaya, 2023)</w:t>
          </w:r>
          <w:r w:rsidR="00456A7E">
            <w:fldChar w:fldCharType="end"/>
          </w:r>
        </w:sdtContent>
      </w:sdt>
      <w:r w:rsidR="00456A7E">
        <w:t xml:space="preserve">. </w:t>
      </w:r>
    </w:p>
    <w:p w14:paraId="62DC969B" w14:textId="49562826" w:rsidR="00456A7E" w:rsidRDefault="00456A7E" w:rsidP="00456A7E">
      <w:pPr>
        <w:pStyle w:val="Heading5"/>
        <w:numPr>
          <w:ilvl w:val="0"/>
          <w:numId w:val="2"/>
        </w:numPr>
      </w:pPr>
      <w:r>
        <w:t>Team Capability</w:t>
      </w:r>
    </w:p>
    <w:p w14:paraId="094F0AF5" w14:textId="1CE811B7" w:rsidR="00456A7E" w:rsidRDefault="007B4908" w:rsidP="00456A7E">
      <w:r>
        <w:t xml:space="preserve">Considering Constraint CON-003, the team caps at exactly three students with individually evidenced contribution, and constraint CON-007 requires any architecture choice to be justified against “the actual capability of the team </w:t>
      </w:r>
      <w:proofErr w:type="gramStart"/>
      <w:r>
        <w:t>“ (</w:t>
      </w:r>
      <w:proofErr w:type="gramEnd"/>
      <w:r>
        <w:t xml:space="preserve">PED v1, Constraint Register). Comparing a modular monolith with an </w:t>
      </w:r>
      <w:r>
        <w:lastRenderedPageBreak/>
        <w:t xml:space="preserve">architecture like microservices, </w:t>
      </w:r>
      <w:proofErr w:type="spellStart"/>
      <w:r>
        <w:t>Milić</w:t>
      </w:r>
      <w:proofErr w:type="spellEnd"/>
      <w:r>
        <w:t xml:space="preserve"> &amp; </w:t>
      </w:r>
      <w:proofErr w:type="spellStart"/>
      <w:r>
        <w:t>Makajić-Nikolić</w:t>
      </w:r>
      <w:proofErr w:type="spellEnd"/>
      <w:r>
        <w:t xml:space="preserve"> (2022) show that a monolith requires managing fewer moving parts per feature than microservices- for example, one Amazon Web Services (AWS) instance, one deployment pipeline, and constant security/deployment-profile counts regardless of how many features are added, versus these growing linearly with each additional microservice.</w:t>
      </w:r>
    </w:p>
    <w:p w14:paraId="0DFC5DAB" w14:textId="25D92B56" w:rsidR="007B4908" w:rsidRDefault="00335D1D" w:rsidP="00335D1D">
      <w:pPr>
        <w:pStyle w:val="Heading3"/>
        <w:numPr>
          <w:ilvl w:val="0"/>
          <w:numId w:val="2"/>
        </w:numPr>
      </w:pPr>
      <w:r>
        <w:t>Deployment</w:t>
      </w:r>
    </w:p>
    <w:p w14:paraId="176038A5" w14:textId="6BDCCF62" w:rsidR="00335D1D" w:rsidRPr="00335D1D" w:rsidRDefault="00335D1D" w:rsidP="00335D1D">
      <w:r>
        <w:t xml:space="preserve">Still on the example of an AWS instance, </w:t>
      </w:r>
      <w:proofErr w:type="spellStart"/>
      <w:r>
        <w:t>Milić</w:t>
      </w:r>
      <w:proofErr w:type="spellEnd"/>
      <w:r>
        <w:t xml:space="preserve"> &amp; </w:t>
      </w:r>
      <w:proofErr w:type="spellStart"/>
      <w:r>
        <w:t>Makajić-Nikolić's</w:t>
      </w:r>
      <w:proofErr w:type="spellEnd"/>
      <w:r>
        <w:t xml:space="preserve"> metrics show the monolith needs 1 AWS instance, 1 pipeline, 3 deployment profiles, while microservices scale these k-for-k. Though this section is attributed to architecture and not necessarily deployment or hosting sites, using this example gives the team a real-world analysis and consideration </w:t>
      </w:r>
      <w:r w:rsidR="009428A0">
        <w:t>of</w:t>
      </w:r>
      <w:r>
        <w:t xml:space="preserve"> how a modular monolith </w:t>
      </w:r>
      <w:r w:rsidR="009428A0">
        <w:t>performs</w:t>
      </w:r>
      <w:r>
        <w:t>.</w:t>
      </w:r>
    </w:p>
    <w:p w14:paraId="0C3DE12E" w14:textId="6FEF2A51" w:rsidR="00335D1D" w:rsidRDefault="00335D1D" w:rsidP="00335D1D">
      <w:r w:rsidRPr="00335D1D">
        <w:rPr>
          <w:noProof/>
        </w:rPr>
        <w:drawing>
          <wp:inline distT="0" distB="0" distL="0" distR="0" wp14:anchorId="6CB37192" wp14:editId="61381622">
            <wp:extent cx="3494915" cy="239602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20284" cy="2413418"/>
                    </a:xfrm>
                    <a:prstGeom prst="rect">
                      <a:avLst/>
                    </a:prstGeom>
                  </pic:spPr>
                </pic:pic>
              </a:graphicData>
            </a:graphic>
          </wp:inline>
        </w:drawing>
      </w:r>
    </w:p>
    <w:p w14:paraId="42A6CFA5" w14:textId="143F3181" w:rsidR="00335D1D" w:rsidRDefault="009428A0" w:rsidP="00335D1D">
      <w:pPr>
        <w:rPr>
          <w:i/>
          <w:sz w:val="16"/>
        </w:rPr>
      </w:pPr>
      <w:r>
        <w:rPr>
          <w:i/>
          <w:sz w:val="16"/>
        </w:rPr>
        <w:t xml:space="preserve">Source: </w:t>
      </w:r>
      <w:proofErr w:type="spellStart"/>
      <w:r w:rsidRPr="009428A0">
        <w:rPr>
          <w:i/>
          <w:sz w:val="16"/>
        </w:rPr>
        <w:t>Milić</w:t>
      </w:r>
      <w:proofErr w:type="spellEnd"/>
      <w:r w:rsidRPr="009428A0">
        <w:rPr>
          <w:i/>
          <w:sz w:val="16"/>
        </w:rPr>
        <w:t xml:space="preserve"> &amp; </w:t>
      </w:r>
      <w:proofErr w:type="spellStart"/>
      <w:r w:rsidRPr="009428A0">
        <w:rPr>
          <w:i/>
          <w:sz w:val="16"/>
        </w:rPr>
        <w:t>Makajić-Nikolić</w:t>
      </w:r>
      <w:proofErr w:type="spellEnd"/>
      <w:r>
        <w:rPr>
          <w:i/>
          <w:sz w:val="16"/>
        </w:rPr>
        <w:t xml:space="preserve"> (2022)</w:t>
      </w:r>
    </w:p>
    <w:p w14:paraId="575AD869" w14:textId="252D601C" w:rsidR="009428A0" w:rsidRDefault="009428A0" w:rsidP="009428A0">
      <w:pPr>
        <w:pStyle w:val="Heading5"/>
        <w:numPr>
          <w:ilvl w:val="0"/>
          <w:numId w:val="2"/>
        </w:numPr>
      </w:pPr>
      <w:r>
        <w:t>Complexity</w:t>
      </w:r>
    </w:p>
    <w:p w14:paraId="78BBB4D1" w14:textId="3789715C" w:rsidR="00CC58FC" w:rsidRDefault="009428A0" w:rsidP="009428A0">
      <w:r>
        <w:t xml:space="preserve">Both reports from </w:t>
      </w:r>
      <w:proofErr w:type="spellStart"/>
      <w:r>
        <w:t>Huseynli</w:t>
      </w:r>
      <w:proofErr w:type="spellEnd"/>
      <w:r>
        <w:t xml:space="preserve"> (2026) and </w:t>
      </w:r>
      <w:proofErr w:type="spellStart"/>
      <w:r>
        <w:t>Milić</w:t>
      </w:r>
      <w:proofErr w:type="spellEnd"/>
      <w:r>
        <w:t xml:space="preserve"> &amp; </w:t>
      </w:r>
      <w:proofErr w:type="spellStart"/>
      <w:r>
        <w:t>Makajić-Nikolić</w:t>
      </w:r>
      <w:proofErr w:type="spellEnd"/>
      <w:r>
        <w:t xml:space="preserve"> (2022) agree that </w:t>
      </w:r>
      <w:r w:rsidR="00186403">
        <w:t xml:space="preserve">a </w:t>
      </w:r>
      <w:r>
        <w:t xml:space="preserve">modular monolith trades distributed-systems complexity (network faults, eventual consistency, service-boundary erosion) for internal complexity (enforcing module encapsulation within one codebase). </w:t>
      </w:r>
      <w:r w:rsidR="00186403">
        <w:t xml:space="preserve">For </w:t>
      </w:r>
      <w:proofErr w:type="spellStart"/>
      <w:r w:rsidR="00186403">
        <w:t>CvicConnect’s</w:t>
      </w:r>
      <w:proofErr w:type="spellEnd"/>
      <w:r w:rsidR="00186403">
        <w:t xml:space="preserve"> notification interaction, a network boundary, new failure modes, and new attack surface aren’t justified, and the team lacks message-broker infrastructure, something modular monolith architecture solves.</w:t>
      </w:r>
    </w:p>
    <w:p w14:paraId="0252AAEA" w14:textId="20ABD3E3" w:rsidR="00CC58FC" w:rsidRDefault="001E2A41" w:rsidP="001E2A41">
      <w:pPr>
        <w:pStyle w:val="Heading2"/>
      </w:pPr>
      <w:r>
        <w:t>Microservices Architecture</w:t>
      </w:r>
    </w:p>
    <w:p w14:paraId="7AEC7424" w14:textId="599E1714" w:rsidR="001E2A41" w:rsidRDefault="001E2A41" w:rsidP="001E2A41">
      <w:pPr>
        <w:pStyle w:val="Heading5"/>
        <w:numPr>
          <w:ilvl w:val="0"/>
          <w:numId w:val="3"/>
        </w:numPr>
      </w:pPr>
      <w:r>
        <w:t>Team Capability</w:t>
      </w:r>
    </w:p>
    <w:p w14:paraId="051D1594" w14:textId="3D2D85AF" w:rsidR="00DD55A5" w:rsidRDefault="001E2A41" w:rsidP="001E2A41">
      <w:proofErr w:type="spellStart"/>
      <w:r>
        <w:t>TaeiZadeh</w:t>
      </w:r>
      <w:proofErr w:type="spellEnd"/>
      <w:r>
        <w:t xml:space="preserve">, </w:t>
      </w:r>
      <w:proofErr w:type="spellStart"/>
      <w:r>
        <w:t>Lotfi</w:t>
      </w:r>
      <w:proofErr w:type="spellEnd"/>
      <w:r>
        <w:t xml:space="preserve"> &amp; Ramadhan's (2024</w:t>
      </w:r>
      <w:proofErr w:type="gramStart"/>
      <w:r>
        <w:t>)  DevOps</w:t>
      </w:r>
      <w:proofErr w:type="gramEnd"/>
      <w:r>
        <w:t xml:space="preserve"> case study reinforces that successful Microservices architecture depends on changing the team culture</w:t>
      </w:r>
      <w:r w:rsidR="00DD55A5">
        <w:t>,</w:t>
      </w:r>
      <w:r>
        <w:t xml:space="preserve"> fostering collaboration between team </w:t>
      </w:r>
      <w:r w:rsidR="00DD55A5">
        <w:t>members</w:t>
      </w:r>
      <w:r>
        <w:t xml:space="preserve">, requires the team to become </w:t>
      </w:r>
      <w:r w:rsidR="00DD55A5">
        <w:t>cross-functional</w:t>
      </w:r>
      <w:r>
        <w:t xml:space="preserve"> and </w:t>
      </w:r>
      <w:r w:rsidR="00DD55A5">
        <w:t>multitask</w:t>
      </w:r>
      <w:r>
        <w:t xml:space="preserve">, and relies on DevOps team maturity as a selection </w:t>
      </w:r>
      <w:r w:rsidR="00DD55A5">
        <w:t xml:space="preserve">criterion.  This architecture is a poor fit because constraint CON-003 limits team member size to 3, and CON-007 requires justification against the actual capability of the team. </w:t>
      </w:r>
    </w:p>
    <w:p w14:paraId="6E75468B" w14:textId="166E701B" w:rsidR="00DD55A5" w:rsidRDefault="00DD55A5" w:rsidP="001E2A41">
      <w:proofErr w:type="spellStart"/>
      <w:r>
        <w:t>TaeiZadeh</w:t>
      </w:r>
      <w:proofErr w:type="spellEnd"/>
      <w:r>
        <w:t xml:space="preserve"> et al.'s own migration case still needed a large technical team plus a dedicated DevOps team with demonstrated maturity. </w:t>
      </w:r>
      <w:proofErr w:type="spellStart"/>
      <w:r>
        <w:t>CvicConnect</w:t>
      </w:r>
      <w:proofErr w:type="spellEnd"/>
      <w:r>
        <w:t xml:space="preserve"> has neither the headcount nor prior DevOps track record this literature treats as a precondition.</w:t>
      </w:r>
    </w:p>
    <w:p w14:paraId="25CF7402" w14:textId="52C4D5D9" w:rsidR="00DD55A5" w:rsidRDefault="00DD55A5" w:rsidP="00DD55A5">
      <w:pPr>
        <w:pStyle w:val="Heading5"/>
        <w:numPr>
          <w:ilvl w:val="0"/>
          <w:numId w:val="3"/>
        </w:numPr>
      </w:pPr>
      <w:r>
        <w:t>Deployment</w:t>
      </w:r>
    </w:p>
    <w:p w14:paraId="644CD2A0" w14:textId="1282ABC5" w:rsidR="00DD55A5" w:rsidRDefault="00DD55A5" w:rsidP="00DD55A5">
      <w:proofErr w:type="spellStart"/>
      <w:r>
        <w:t>Gudelli</w:t>
      </w:r>
      <w:proofErr w:type="spellEnd"/>
      <w:r>
        <w:t xml:space="preserve"> (2022/2026) explains that Continuous Improvement/Continuous Deployment (CI/CD) in microservices are inherently complex due to the need to coordinate deployments across multiple services, each with independent versioning, dependencies, and rollback requirements, requiring contrast testing, feature flagging, canary/b</w:t>
      </w:r>
      <w:r w:rsidR="009546F0">
        <w:t>l</w:t>
      </w:r>
      <w:r>
        <w:t>ue-green rollout, and automated rollback per service</w:t>
      </w:r>
      <w:r w:rsidR="009546F0">
        <w:t xml:space="preserve">- a stark contrast to </w:t>
      </w:r>
      <w:proofErr w:type="spellStart"/>
      <w:r w:rsidR="009546F0">
        <w:t>Milić</w:t>
      </w:r>
      <w:proofErr w:type="spellEnd"/>
      <w:r w:rsidR="009546F0">
        <w:t xml:space="preserve"> &amp; </w:t>
      </w:r>
      <w:proofErr w:type="spellStart"/>
      <w:r w:rsidR="009546F0">
        <w:t>Makajić-Nikolić’s</w:t>
      </w:r>
      <w:proofErr w:type="spellEnd"/>
      <w:r w:rsidR="009546F0">
        <w:t xml:space="preserve"> constant “1 AWS instance/1 pipeline” monolith figures.</w:t>
      </w:r>
    </w:p>
    <w:p w14:paraId="3A046215" w14:textId="123FC62E" w:rsidR="009546F0" w:rsidRDefault="009546F0" w:rsidP="00DD55A5">
      <w:r>
        <w:t xml:space="preserve">This architecture presents as a poor fit, as constraint CON-004 pushes free/low-cost hosting and flags deployment-limitation risk (PED v1, Constraint Interactions). </w:t>
      </w:r>
    </w:p>
    <w:p w14:paraId="33A2982C" w14:textId="411540CA" w:rsidR="009546F0" w:rsidRDefault="009546F0" w:rsidP="009546F0">
      <w:pPr>
        <w:pStyle w:val="Heading5"/>
        <w:numPr>
          <w:ilvl w:val="0"/>
          <w:numId w:val="3"/>
        </w:numPr>
      </w:pPr>
      <w:r>
        <w:t>Complexity</w:t>
      </w:r>
    </w:p>
    <w:p w14:paraId="67635734" w14:textId="4AB3DD90" w:rsidR="009546F0" w:rsidRDefault="009546F0" w:rsidP="009546F0">
      <w:proofErr w:type="spellStart"/>
      <w:r>
        <w:t>TaeiZadeh</w:t>
      </w:r>
      <w:proofErr w:type="spellEnd"/>
      <w:r>
        <w:t xml:space="preserve"> et al. </w:t>
      </w:r>
      <w:r w:rsidR="0090701C">
        <w:t>explain</w:t>
      </w:r>
      <w:r>
        <w:t xml:space="preserve"> that the</w:t>
      </w:r>
      <w:r w:rsidR="0090701C">
        <w:t>re is</w:t>
      </w:r>
      <w:r>
        <w:t xml:space="preserve"> </w:t>
      </w:r>
      <w:r w:rsidR="0090701C">
        <w:t xml:space="preserve">a </w:t>
      </w:r>
      <w:r>
        <w:t>design-time complexity layer</w:t>
      </w:r>
      <w:r w:rsidR="0090701C">
        <w:t>;</w:t>
      </w:r>
      <w:r>
        <w:t xml:space="preserve"> even determining microservice boundaries is “tightly coupled with granularity level”, has “ambiguous” metrics, and </w:t>
      </w:r>
      <w:r w:rsidR="0090701C">
        <w:t xml:space="preserve">requires </w:t>
      </w:r>
      <w:r>
        <w:t>business-process ranking, service-call counts, and data-access-pattern analysis with expert interviews and a DevOps change-log review</w:t>
      </w:r>
      <w:r w:rsidR="0090701C">
        <w:t>.</w:t>
      </w:r>
    </w:p>
    <w:p w14:paraId="7147BD71" w14:textId="02B9D1F1" w:rsidR="0090701C" w:rsidRDefault="0090701C" w:rsidP="009546F0">
      <w:r>
        <w:t xml:space="preserve">Introducing microservice-grade boundary-determination and orchestration complexity now would be exactly the “trend-driven adoption without sufficient contextual justification” both </w:t>
      </w:r>
      <w:proofErr w:type="spellStart"/>
      <w:r>
        <w:t>Husenyli</w:t>
      </w:r>
      <w:proofErr w:type="spellEnd"/>
      <w:r>
        <w:t xml:space="preserve"> and </w:t>
      </w:r>
      <w:proofErr w:type="spellStart"/>
      <w:r>
        <w:t>Gudelli</w:t>
      </w:r>
      <w:proofErr w:type="spellEnd"/>
      <w:r>
        <w:t xml:space="preserve"> warn against. </w:t>
      </w:r>
      <w:proofErr w:type="spellStart"/>
      <w:r>
        <w:t>CvicConnect</w:t>
      </w:r>
      <w:proofErr w:type="spellEnd"/>
      <w:r>
        <w:t xml:space="preserve"> has no equivalent evidenced load; PED v1 explicitly treats “the expected number of users, requests and stored data” as an open assumption (ASM-007) still to be established, not a known scale driver.</w:t>
      </w:r>
    </w:p>
    <w:p w14:paraId="2DB7CD3D" w14:textId="2F76B653" w:rsidR="00E80318" w:rsidRDefault="007E2610" w:rsidP="007E2610">
      <w:pPr>
        <w:pStyle w:val="Heading5"/>
      </w:pPr>
      <w:r>
        <w:t>Recommendation</w:t>
      </w:r>
    </w:p>
    <w:p w14:paraId="0405D283" w14:textId="77777777" w:rsidR="00467404" w:rsidRPr="00467404" w:rsidRDefault="00467404" w:rsidP="00467404">
      <w:r w:rsidRPr="00467404">
        <w:t xml:space="preserve">Therefore, </w:t>
      </w:r>
      <w:proofErr w:type="spellStart"/>
      <w:r w:rsidRPr="00467404">
        <w:rPr>
          <w:b/>
          <w:bCs/>
        </w:rPr>
        <w:t>CivicConnect</w:t>
      </w:r>
      <w:proofErr w:type="spellEnd"/>
      <w:r w:rsidRPr="00467404">
        <w:rPr>
          <w:b/>
          <w:bCs/>
        </w:rPr>
        <w:t xml:space="preserve"> should adopt a Modular Monolith Architecture</w:t>
      </w:r>
      <w:r w:rsidRPr="00467404">
        <w:t>. It provides:</w:t>
      </w:r>
    </w:p>
    <w:p w14:paraId="6E69AD86" w14:textId="77777777" w:rsidR="00467404" w:rsidRPr="00467404" w:rsidRDefault="00467404" w:rsidP="00467404">
      <w:pPr>
        <w:numPr>
          <w:ilvl w:val="0"/>
          <w:numId w:val="5"/>
        </w:numPr>
      </w:pPr>
      <w:r w:rsidRPr="00467404">
        <w:rPr>
          <w:b/>
          <w:bCs/>
        </w:rPr>
        <w:t>Modularity</w:t>
      </w:r>
      <w:r w:rsidRPr="00467404">
        <w:t>, supporting NFR-010 and allowing functionality to be separated into clear business-focused modules.</w:t>
      </w:r>
    </w:p>
    <w:p w14:paraId="6732E7E3" w14:textId="77777777" w:rsidR="00467404" w:rsidRPr="00467404" w:rsidRDefault="00467404" w:rsidP="00467404">
      <w:pPr>
        <w:numPr>
          <w:ilvl w:val="0"/>
          <w:numId w:val="5"/>
        </w:numPr>
      </w:pPr>
      <w:r w:rsidRPr="00467404">
        <w:rPr>
          <w:b/>
          <w:bCs/>
        </w:rPr>
        <w:t>Manageable complexity</w:t>
      </w:r>
      <w:r w:rsidRPr="00467404">
        <w:t>, appropriate for the three-member team specified by CON-003 and CON-007.</w:t>
      </w:r>
    </w:p>
    <w:p w14:paraId="26F6D332" w14:textId="77777777" w:rsidR="00467404" w:rsidRPr="00467404" w:rsidRDefault="00467404" w:rsidP="00467404">
      <w:pPr>
        <w:numPr>
          <w:ilvl w:val="0"/>
          <w:numId w:val="5"/>
        </w:numPr>
      </w:pPr>
      <w:r w:rsidRPr="00467404">
        <w:rPr>
          <w:b/>
          <w:bCs/>
        </w:rPr>
        <w:t>Simplified deployment</w:t>
      </w:r>
      <w:r w:rsidRPr="00467404">
        <w:t>, because the modules remain part of one deployable application.</w:t>
      </w:r>
    </w:p>
    <w:p w14:paraId="6610F5EF" w14:textId="77777777" w:rsidR="00467404" w:rsidRPr="00467404" w:rsidRDefault="00467404" w:rsidP="00467404">
      <w:pPr>
        <w:numPr>
          <w:ilvl w:val="0"/>
          <w:numId w:val="5"/>
        </w:numPr>
      </w:pPr>
      <w:r w:rsidRPr="00467404">
        <w:rPr>
          <w:b/>
          <w:bCs/>
        </w:rPr>
        <w:t>Lower infrastructure requirements</w:t>
      </w:r>
      <w:r w:rsidRPr="00467404">
        <w:t>, supporting the free or low-cost preference established by CON-004.</w:t>
      </w:r>
    </w:p>
    <w:p w14:paraId="33B7CAAF" w14:textId="77777777" w:rsidR="00467404" w:rsidRPr="00467404" w:rsidRDefault="00467404" w:rsidP="00467404">
      <w:pPr>
        <w:numPr>
          <w:ilvl w:val="0"/>
          <w:numId w:val="5"/>
        </w:numPr>
      </w:pPr>
      <w:proofErr w:type="gramStart"/>
      <w:r w:rsidRPr="00467404">
        <w:rPr>
          <w:b/>
          <w:bCs/>
        </w:rPr>
        <w:t>Reduced coupling</w:t>
      </w:r>
      <w:r w:rsidRPr="00467404">
        <w:t>,</w:t>
      </w:r>
      <w:proofErr w:type="gramEnd"/>
      <w:r w:rsidRPr="00467404">
        <w:t xml:space="preserve"> provided module boundaries and DIP are consistently enforced.</w:t>
      </w:r>
    </w:p>
    <w:p w14:paraId="2CE774E4" w14:textId="77777777" w:rsidR="00467404" w:rsidRPr="00467404" w:rsidRDefault="00467404" w:rsidP="00467404">
      <w:pPr>
        <w:numPr>
          <w:ilvl w:val="0"/>
          <w:numId w:val="5"/>
        </w:numPr>
      </w:pPr>
      <w:r w:rsidRPr="00467404">
        <w:rPr>
          <w:b/>
          <w:bCs/>
        </w:rPr>
        <w:t>A better fit for the currently evidenced scale</w:t>
      </w:r>
      <w:r w:rsidRPr="00467404">
        <w:t>, since ASM-007 does not yet establish demand that would justify microservices.</w:t>
      </w:r>
    </w:p>
    <w:p w14:paraId="467C1616" w14:textId="77777777" w:rsidR="00467404" w:rsidRPr="00467404" w:rsidRDefault="00467404" w:rsidP="00467404">
      <w:r w:rsidRPr="00467404">
        <w:t xml:space="preserve">Overall, the </w:t>
      </w:r>
      <w:r w:rsidRPr="00467404">
        <w:rPr>
          <w:b/>
          <w:bCs/>
        </w:rPr>
        <w:t xml:space="preserve">modular monolith offers the strongest alignment between </w:t>
      </w:r>
      <w:proofErr w:type="spellStart"/>
      <w:r w:rsidRPr="00467404">
        <w:rPr>
          <w:b/>
          <w:bCs/>
        </w:rPr>
        <w:t>CivicConnect's</w:t>
      </w:r>
      <w:proofErr w:type="spellEnd"/>
      <w:r w:rsidRPr="00467404">
        <w:rPr>
          <w:b/>
          <w:bCs/>
        </w:rPr>
        <w:t xml:space="preserve"> architectural quality requirements and its practical project constraints</w:t>
      </w:r>
      <w:r w:rsidRPr="00467404">
        <w:t xml:space="preserve">. It retains the simplicity and cost advantages of monolithic deployment while addressing one of the principal weaknesses of a traditional monolith through explicit modular boundaries. The recommendation therefore represents a </w:t>
      </w:r>
      <w:r w:rsidRPr="00467404">
        <w:rPr>
          <w:b/>
          <w:bCs/>
        </w:rPr>
        <w:t>context-driven architectural decision rather than adopting microservices primarily because of industry trends</w:t>
      </w:r>
      <w:r w:rsidRPr="00467404">
        <w:t>.</w:t>
      </w:r>
    </w:p>
    <w:p w14:paraId="783D58C7" w14:textId="77777777" w:rsidR="007E2610" w:rsidRPr="007E2610" w:rsidRDefault="007E2610" w:rsidP="007E2610"/>
    <w:p w14:paraId="3908F31F" w14:textId="70E2565C" w:rsidR="00E80318" w:rsidRDefault="00E80318" w:rsidP="009546F0">
      <w:bookmarkStart w:id="0" w:name="_GoBack"/>
      <w:bookmarkEnd w:id="0"/>
    </w:p>
    <w:sdt>
      <w:sdtPr>
        <w:rPr>
          <w:rFonts w:asciiTheme="minorHAnsi" w:eastAsiaTheme="minorHAnsi" w:hAnsiTheme="minorHAnsi" w:cstheme="minorBidi"/>
          <w:color w:val="auto"/>
          <w:sz w:val="22"/>
          <w:szCs w:val="22"/>
        </w:rPr>
        <w:id w:val="1438792203"/>
        <w:docPartObj>
          <w:docPartGallery w:val="Bibliographies"/>
          <w:docPartUnique/>
        </w:docPartObj>
      </w:sdtPr>
      <w:sdtEndPr/>
      <w:sdtContent>
        <w:p w14:paraId="157AE22B" w14:textId="04DCEF9E" w:rsidR="00E80318" w:rsidRDefault="00E80318">
          <w:pPr>
            <w:pStyle w:val="Heading1"/>
          </w:pPr>
          <w:r>
            <w:t>References</w:t>
          </w:r>
        </w:p>
        <w:bookmarkStart w:id="1" w:name="_Hlk241596246" w:displacedByCustomXml="next"/>
        <w:sdt>
          <w:sdtPr>
            <w:id w:val="-573587230"/>
            <w:bibliography/>
          </w:sdtPr>
          <w:sdtEndPr/>
          <w:sdtContent>
            <w:p w14:paraId="497EB3B1" w14:textId="77777777" w:rsidR="00F00B5E" w:rsidRDefault="00E80318" w:rsidP="00F00B5E">
              <w:pPr>
                <w:pStyle w:val="Bibliography"/>
                <w:rPr>
                  <w:noProof/>
                  <w:sz w:val="24"/>
                  <w:szCs w:val="24"/>
                </w:rPr>
              </w:pPr>
              <w:r>
                <w:fldChar w:fldCharType="begin"/>
              </w:r>
              <w:r>
                <w:instrText xml:space="preserve"> BIBLIOGRAPHY </w:instrText>
              </w:r>
              <w:r>
                <w:fldChar w:fldCharType="separate"/>
              </w:r>
              <w:r w:rsidR="00F00B5E">
                <w:rPr>
                  <w:noProof/>
                </w:rPr>
                <w:t xml:space="preserve">Alvares, S., 2025. </w:t>
              </w:r>
              <w:r w:rsidR="00F00B5E">
                <w:rPr>
                  <w:i/>
                  <w:iCs/>
                  <w:noProof/>
                </w:rPr>
                <w:t xml:space="preserve">medium. </w:t>
              </w:r>
              <w:r w:rsidR="00F00B5E">
                <w:rPr>
                  <w:noProof/>
                </w:rPr>
                <w:t xml:space="preserve">[Online] </w:t>
              </w:r>
              <w:r w:rsidR="00F00B5E">
                <w:rPr>
                  <w:noProof/>
                </w:rPr>
                <w:br/>
                <w:t xml:space="preserve">Available at: </w:t>
              </w:r>
              <w:r w:rsidR="00F00B5E">
                <w:rPr>
                  <w:noProof/>
                  <w:u w:val="single"/>
                </w:rPr>
                <w:t>https://medium.com/beyond-the-brackets/the-monolith-layered-architecture-explained-f021568ae96a</w:t>
              </w:r>
              <w:r w:rsidR="00F00B5E">
                <w:rPr>
                  <w:noProof/>
                </w:rPr>
                <w:br/>
                <w:t>[Accessed 24 september 2026].</w:t>
              </w:r>
            </w:p>
            <w:p w14:paraId="1CC06B1D" w14:textId="77777777" w:rsidR="00F00B5E" w:rsidRDefault="00F00B5E" w:rsidP="00F00B5E">
              <w:pPr>
                <w:pStyle w:val="Bibliography"/>
                <w:rPr>
                  <w:noProof/>
                </w:rPr>
              </w:pPr>
              <w:r>
                <w:rPr>
                  <w:noProof/>
                </w:rPr>
                <w:t xml:space="preserve">Gudelli, V. R., 2022. MICROSERVICE ARCHITECTURE: CHALLENGES, SOLUTIONS, AND BEST PRACTICES. </w:t>
              </w:r>
              <w:r>
                <w:rPr>
                  <w:i/>
                  <w:iCs/>
                  <w:noProof/>
                </w:rPr>
                <w:t xml:space="preserve">International Research Journal of Modernization in Engineering Technology and Science , </w:t>
              </w:r>
              <w:r>
                <w:rPr>
                  <w:noProof/>
                </w:rPr>
                <w:t>VIII(7).</w:t>
              </w:r>
            </w:p>
            <w:p w14:paraId="1CD9FAE6" w14:textId="77777777" w:rsidR="00F00B5E" w:rsidRDefault="00F00B5E" w:rsidP="00F00B5E">
              <w:pPr>
                <w:pStyle w:val="Bibliography"/>
                <w:rPr>
                  <w:noProof/>
                </w:rPr>
              </w:pPr>
              <w:r>
                <w:rPr>
                  <w:noProof/>
                </w:rPr>
                <w:t xml:space="preserve">HAJIPOOR, M., MOTAMENI, H. &amp; EBRAHIMNEJAD, A., 2025. A hybrid AHP-DEA approach for software architecture evaluation and selection. </w:t>
              </w:r>
              <w:r>
                <w:rPr>
                  <w:i/>
                  <w:iCs/>
                  <w:noProof/>
                </w:rPr>
                <w:t xml:space="preserve">urkish Journal of Electrical Engineering and Computer Science, </w:t>
              </w:r>
              <w:r>
                <w:rPr>
                  <w:noProof/>
                </w:rPr>
                <w:t>33(3), pp. 5-23.</w:t>
              </w:r>
            </w:p>
            <w:p w14:paraId="717B0858" w14:textId="77777777" w:rsidR="00F00B5E" w:rsidRDefault="00F00B5E" w:rsidP="00F00B5E">
              <w:pPr>
                <w:pStyle w:val="Bibliography"/>
                <w:rPr>
                  <w:noProof/>
                </w:rPr>
              </w:pPr>
              <w:r>
                <w:rPr>
                  <w:noProof/>
                </w:rPr>
                <w:t xml:space="preserve">Hardzeenka, I., n.d. </w:t>
              </w:r>
              <w:r>
                <w:rPr>
                  <w:i/>
                  <w:iCs/>
                  <w:noProof/>
                </w:rPr>
                <w:t xml:space="preserve">software architecture guild. </w:t>
              </w:r>
              <w:r>
                <w:rPr>
                  <w:noProof/>
                </w:rPr>
                <w:t xml:space="preserve">[Online] </w:t>
              </w:r>
              <w:r>
                <w:rPr>
                  <w:noProof/>
                </w:rPr>
                <w:br/>
                <w:t xml:space="preserve">Available at: </w:t>
              </w:r>
              <w:r>
                <w:rPr>
                  <w:noProof/>
                  <w:u w:val="single"/>
                </w:rPr>
                <w:t>https://software-architecture-guild.com/guide/architecture/styles/layered-monolith/</w:t>
              </w:r>
              <w:r>
                <w:rPr>
                  <w:noProof/>
                </w:rPr>
                <w:br/>
                <w:t>[Accessed 24 spetember 2026].</w:t>
              </w:r>
            </w:p>
            <w:p w14:paraId="17FBFA0D" w14:textId="77777777" w:rsidR="00F00B5E" w:rsidRDefault="00F00B5E" w:rsidP="00F00B5E">
              <w:pPr>
                <w:pStyle w:val="Bibliography"/>
                <w:rPr>
                  <w:noProof/>
                </w:rPr>
              </w:pPr>
              <w:r>
                <w:rPr>
                  <w:noProof/>
                </w:rPr>
                <w:t xml:space="preserve">Harikrishnan, J., 2024. </w:t>
              </w:r>
              <w:r>
                <w:rPr>
                  <w:i/>
                  <w:iCs/>
                  <w:noProof/>
                </w:rPr>
                <w:t xml:space="preserve">linkedin. </w:t>
              </w:r>
              <w:r>
                <w:rPr>
                  <w:noProof/>
                </w:rPr>
                <w:t xml:space="preserve">[Online] </w:t>
              </w:r>
              <w:r>
                <w:rPr>
                  <w:noProof/>
                </w:rPr>
                <w:br/>
                <w:t xml:space="preserve">Available at: </w:t>
              </w:r>
              <w:r>
                <w:rPr>
                  <w:noProof/>
                  <w:u w:val="single"/>
                </w:rPr>
                <w:t>https://www.linkedin.com/pulse/architecturally-significant-requirements-asr-solution-harikrishnan-j-wkrsf</w:t>
              </w:r>
              <w:r>
                <w:rPr>
                  <w:noProof/>
                </w:rPr>
                <w:br/>
                <w:t>[Accessed 26 september 2026].</w:t>
              </w:r>
            </w:p>
            <w:p w14:paraId="38B495B9" w14:textId="77777777" w:rsidR="00F00B5E" w:rsidRDefault="00F00B5E" w:rsidP="00F00B5E">
              <w:pPr>
                <w:pStyle w:val="Bibliography"/>
                <w:rPr>
                  <w:noProof/>
                </w:rPr>
              </w:pPr>
              <w:r>
                <w:rPr>
                  <w:noProof/>
                </w:rPr>
                <w:t>Hassouna, A. B., 2025. The Architecture Treadeoff and Risk Analysis Framework (ATRAF): A unified approach for evaluating software architectures, reference architectures, and architectura; frameworks. pp. 1-2.</w:t>
              </w:r>
            </w:p>
            <w:p w14:paraId="02E09B40" w14:textId="77777777" w:rsidR="00F00B5E" w:rsidRDefault="00F00B5E" w:rsidP="00F00B5E">
              <w:pPr>
                <w:pStyle w:val="Bibliography"/>
                <w:rPr>
                  <w:noProof/>
                </w:rPr>
              </w:pPr>
              <w:r>
                <w:rPr>
                  <w:noProof/>
                </w:rPr>
                <w:t xml:space="preserve">HERMANOVÁ, K., 2024. </w:t>
              </w:r>
              <w:r>
                <w:rPr>
                  <w:i/>
                  <w:iCs/>
                  <w:noProof/>
                </w:rPr>
                <w:t xml:space="preserve">Microservices Migration Process to Spring Boot and Quarkus, </w:t>
              </w:r>
              <w:r>
                <w:rPr>
                  <w:noProof/>
                </w:rPr>
                <w:t>Brno: Masaryk University.</w:t>
              </w:r>
            </w:p>
            <w:p w14:paraId="7DB08CD6" w14:textId="77777777" w:rsidR="00F00B5E" w:rsidRDefault="00F00B5E" w:rsidP="00F00B5E">
              <w:pPr>
                <w:pStyle w:val="Bibliography"/>
                <w:rPr>
                  <w:noProof/>
                </w:rPr>
              </w:pPr>
              <w:r>
                <w:rPr>
                  <w:noProof/>
                </w:rPr>
                <w:t xml:space="preserve">Mili´c , M. &amp; Makaji´c-Nikoli´c, D., 2022. Development of a Quality-Based Model for Software Architecture Optimization: A Case Study of Monolith and Microservice Architectures. </w:t>
              </w:r>
              <w:r>
                <w:rPr>
                  <w:i/>
                  <w:iCs/>
                  <w:noProof/>
                </w:rPr>
                <w:t xml:space="preserve">Symmetry, </w:t>
              </w:r>
              <w:r>
                <w:rPr>
                  <w:noProof/>
                </w:rPr>
                <w:t>pp. 1-26.</w:t>
              </w:r>
            </w:p>
            <w:p w14:paraId="7917DC7C" w14:textId="77777777" w:rsidR="00F00B5E" w:rsidRDefault="00F00B5E" w:rsidP="00F00B5E">
              <w:pPr>
                <w:pStyle w:val="Bibliography"/>
                <w:rPr>
                  <w:noProof/>
                </w:rPr>
              </w:pPr>
              <w:r>
                <w:rPr>
                  <w:noProof/>
                </w:rPr>
                <w:t xml:space="preserve">Ozkaya, M., 2023. </w:t>
              </w:r>
              <w:r>
                <w:rPr>
                  <w:i/>
                  <w:iCs/>
                  <w:noProof/>
                </w:rPr>
                <w:t xml:space="preserve">medium. </w:t>
              </w:r>
              <w:r>
                <w:rPr>
                  <w:noProof/>
                </w:rPr>
                <w:t xml:space="preserve">[Online] </w:t>
              </w:r>
              <w:r>
                <w:rPr>
                  <w:noProof/>
                </w:rPr>
                <w:br/>
                <w:t xml:space="preserve">Available at: </w:t>
              </w:r>
              <w:r>
                <w:rPr>
                  <w:noProof/>
                  <w:u w:val="single"/>
                </w:rPr>
                <w:t>https://medium.com/design-microservices-architecture-with-patterns/microservices-killer-modular-monolithic-architecture-ac83814f6862</w:t>
              </w:r>
              <w:r>
                <w:rPr>
                  <w:noProof/>
                </w:rPr>
                <w:br/>
                <w:t>[Accessed 25 september 2026].</w:t>
              </w:r>
            </w:p>
            <w:p w14:paraId="237283CC" w14:textId="77777777" w:rsidR="00F00B5E" w:rsidRDefault="00F00B5E" w:rsidP="00F00B5E">
              <w:pPr>
                <w:pStyle w:val="Bibliography"/>
                <w:rPr>
                  <w:noProof/>
                </w:rPr>
              </w:pPr>
              <w:r>
                <w:rPr>
                  <w:noProof/>
                </w:rPr>
                <w:t xml:space="preserve">TaeiZadeh1, A., Lotfi2, Z. &amp; Ramadhan1, A., 2024. Microservices Boundary Determination Migration in DevOps: a Case Study. </w:t>
              </w:r>
              <w:r>
                <w:rPr>
                  <w:i/>
                  <w:iCs/>
                  <w:noProof/>
                </w:rPr>
                <w:t xml:space="preserve">BIO Web of Conferences, </w:t>
              </w:r>
              <w:r>
                <w:rPr>
                  <w:noProof/>
                </w:rPr>
                <w:t>Volume 97, pp. 1-20.</w:t>
              </w:r>
            </w:p>
            <w:p w14:paraId="2643494A" w14:textId="0BD62B81" w:rsidR="00E80318" w:rsidRDefault="00E80318" w:rsidP="00F00B5E">
              <w:r>
                <w:rPr>
                  <w:b/>
                  <w:bCs/>
                  <w:noProof/>
                </w:rPr>
                <w:fldChar w:fldCharType="end"/>
              </w:r>
              <w:proofErr w:type="spellStart"/>
              <w:r>
                <w:t>Vilakazi</w:t>
              </w:r>
              <w:proofErr w:type="spellEnd"/>
              <w:r>
                <w:t xml:space="preserve">, O., Ince, L.A. and Phahladira, T. (2026) </w:t>
              </w:r>
              <w:proofErr w:type="spellStart"/>
              <w:r>
                <w:rPr>
                  <w:rStyle w:val="Emphasis"/>
                </w:rPr>
                <w:t>CivicConnect</w:t>
              </w:r>
              <w:proofErr w:type="spellEnd"/>
              <w:r>
                <w:rPr>
                  <w:rStyle w:val="Emphasis"/>
                </w:rPr>
                <w:t>: Research-Informed Software Engineering Decisions</w:t>
              </w:r>
              <w:r>
                <w:t xml:space="preserve">. Unpublished assignment, SEN381 Assignment 2, Belgium Campus </w:t>
              </w:r>
              <w:proofErr w:type="spellStart"/>
              <w:r>
                <w:t>ITversity</w:t>
              </w:r>
              <w:proofErr w:type="spellEnd"/>
              <w:r>
                <w:t>.</w:t>
              </w:r>
            </w:p>
          </w:sdtContent>
        </w:sdt>
      </w:sdtContent>
    </w:sdt>
    <w:bookmarkEnd w:id="1" w:displacedByCustomXml="prev"/>
    <w:p w14:paraId="38CACF98" w14:textId="77777777" w:rsidR="00E80318" w:rsidRPr="009546F0" w:rsidRDefault="00E80318" w:rsidP="009546F0"/>
    <w:sectPr w:rsidR="00E80318" w:rsidRPr="009546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F2FD2"/>
    <w:multiLevelType w:val="hybridMultilevel"/>
    <w:tmpl w:val="DA1873D8"/>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B3E0916"/>
    <w:multiLevelType w:val="multilevel"/>
    <w:tmpl w:val="A988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13156"/>
    <w:multiLevelType w:val="hybridMultilevel"/>
    <w:tmpl w:val="C576B1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3F76CB3"/>
    <w:multiLevelType w:val="hybridMultilevel"/>
    <w:tmpl w:val="C0364DD8"/>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5DC6482F"/>
    <w:multiLevelType w:val="hybridMultilevel"/>
    <w:tmpl w:val="35E288A6"/>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0D4"/>
    <w:rsid w:val="000104FD"/>
    <w:rsid w:val="0009638E"/>
    <w:rsid w:val="001022DD"/>
    <w:rsid w:val="0018282D"/>
    <w:rsid w:val="00186403"/>
    <w:rsid w:val="001A169D"/>
    <w:rsid w:val="001E2A41"/>
    <w:rsid w:val="00211406"/>
    <w:rsid w:val="00286F34"/>
    <w:rsid w:val="00335D1D"/>
    <w:rsid w:val="004460D4"/>
    <w:rsid w:val="00456A7E"/>
    <w:rsid w:val="00467404"/>
    <w:rsid w:val="004C6278"/>
    <w:rsid w:val="00542EA2"/>
    <w:rsid w:val="0060171E"/>
    <w:rsid w:val="00603DBE"/>
    <w:rsid w:val="00663241"/>
    <w:rsid w:val="006B14E5"/>
    <w:rsid w:val="0078752D"/>
    <w:rsid w:val="007B4908"/>
    <w:rsid w:val="007D4F5A"/>
    <w:rsid w:val="007E076A"/>
    <w:rsid w:val="007E2610"/>
    <w:rsid w:val="008A47D5"/>
    <w:rsid w:val="008F5E43"/>
    <w:rsid w:val="0090701C"/>
    <w:rsid w:val="00916E9C"/>
    <w:rsid w:val="00935202"/>
    <w:rsid w:val="009428A0"/>
    <w:rsid w:val="009546F0"/>
    <w:rsid w:val="009822C9"/>
    <w:rsid w:val="00B26F69"/>
    <w:rsid w:val="00BE3BB8"/>
    <w:rsid w:val="00C865EA"/>
    <w:rsid w:val="00CA6859"/>
    <w:rsid w:val="00CB56B3"/>
    <w:rsid w:val="00CC58FC"/>
    <w:rsid w:val="00CD30F1"/>
    <w:rsid w:val="00DC3CE2"/>
    <w:rsid w:val="00DC47B8"/>
    <w:rsid w:val="00DD55A5"/>
    <w:rsid w:val="00DF6FD5"/>
    <w:rsid w:val="00E23AC9"/>
    <w:rsid w:val="00E26555"/>
    <w:rsid w:val="00E80318"/>
    <w:rsid w:val="00F00B5E"/>
    <w:rsid w:val="00F342F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22B1D"/>
  <w15:chartTrackingRefBased/>
  <w15:docId w15:val="{9F20E5DF-FFA8-4E76-AEBC-E1ADA9D72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0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265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F6F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A169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A169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0D4"/>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4460D4"/>
    <w:rPr>
      <w:sz w:val="16"/>
      <w:szCs w:val="16"/>
    </w:rPr>
  </w:style>
  <w:style w:type="paragraph" w:styleId="CommentText">
    <w:name w:val="annotation text"/>
    <w:basedOn w:val="Normal"/>
    <w:link w:val="CommentTextChar"/>
    <w:uiPriority w:val="99"/>
    <w:semiHidden/>
    <w:unhideWhenUsed/>
    <w:rsid w:val="004460D4"/>
    <w:pPr>
      <w:spacing w:line="240" w:lineRule="auto"/>
    </w:pPr>
    <w:rPr>
      <w:sz w:val="20"/>
      <w:szCs w:val="20"/>
    </w:rPr>
  </w:style>
  <w:style w:type="character" w:customStyle="1" w:styleId="CommentTextChar">
    <w:name w:val="Comment Text Char"/>
    <w:basedOn w:val="DefaultParagraphFont"/>
    <w:link w:val="CommentText"/>
    <w:uiPriority w:val="99"/>
    <w:semiHidden/>
    <w:rsid w:val="004460D4"/>
    <w:rPr>
      <w:sz w:val="20"/>
      <w:szCs w:val="20"/>
    </w:rPr>
  </w:style>
  <w:style w:type="paragraph" w:styleId="CommentSubject">
    <w:name w:val="annotation subject"/>
    <w:basedOn w:val="CommentText"/>
    <w:next w:val="CommentText"/>
    <w:link w:val="CommentSubjectChar"/>
    <w:uiPriority w:val="99"/>
    <w:semiHidden/>
    <w:unhideWhenUsed/>
    <w:rsid w:val="004460D4"/>
    <w:rPr>
      <w:b/>
      <w:bCs/>
    </w:rPr>
  </w:style>
  <w:style w:type="character" w:customStyle="1" w:styleId="CommentSubjectChar">
    <w:name w:val="Comment Subject Char"/>
    <w:basedOn w:val="CommentTextChar"/>
    <w:link w:val="CommentSubject"/>
    <w:uiPriority w:val="99"/>
    <w:semiHidden/>
    <w:rsid w:val="004460D4"/>
    <w:rPr>
      <w:b/>
      <w:bCs/>
      <w:sz w:val="20"/>
      <w:szCs w:val="20"/>
    </w:rPr>
  </w:style>
  <w:style w:type="paragraph" w:styleId="BalloonText">
    <w:name w:val="Balloon Text"/>
    <w:basedOn w:val="Normal"/>
    <w:link w:val="BalloonTextChar"/>
    <w:uiPriority w:val="99"/>
    <w:semiHidden/>
    <w:unhideWhenUsed/>
    <w:rsid w:val="004460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60D4"/>
    <w:rPr>
      <w:rFonts w:ascii="Segoe UI" w:hAnsi="Segoe UI" w:cs="Segoe UI"/>
      <w:sz w:val="18"/>
      <w:szCs w:val="18"/>
    </w:rPr>
  </w:style>
  <w:style w:type="character" w:customStyle="1" w:styleId="Heading2Char">
    <w:name w:val="Heading 2 Char"/>
    <w:basedOn w:val="DefaultParagraphFont"/>
    <w:link w:val="Heading2"/>
    <w:uiPriority w:val="9"/>
    <w:rsid w:val="00E2655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F6FD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A169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1A169D"/>
    <w:rPr>
      <w:rFonts w:asciiTheme="majorHAnsi" w:eastAsiaTheme="majorEastAsia" w:hAnsiTheme="majorHAnsi" w:cstheme="majorBidi"/>
      <w:color w:val="2F5496" w:themeColor="accent1" w:themeShade="BF"/>
    </w:rPr>
  </w:style>
  <w:style w:type="paragraph" w:styleId="Bibliography">
    <w:name w:val="Bibliography"/>
    <w:basedOn w:val="Normal"/>
    <w:next w:val="Normal"/>
    <w:uiPriority w:val="37"/>
    <w:unhideWhenUsed/>
    <w:rsid w:val="00E80318"/>
  </w:style>
  <w:style w:type="character" w:styleId="Emphasis">
    <w:name w:val="Emphasis"/>
    <w:basedOn w:val="DefaultParagraphFont"/>
    <w:uiPriority w:val="20"/>
    <w:qFormat/>
    <w:rsid w:val="00E80318"/>
    <w:rPr>
      <w:i/>
      <w:iCs/>
    </w:rPr>
  </w:style>
  <w:style w:type="table" w:styleId="TableGrid">
    <w:name w:val="Table Grid"/>
    <w:basedOn w:val="TableNormal"/>
    <w:uiPriority w:val="39"/>
    <w:rsid w:val="00542E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35202"/>
    <w:rPr>
      <w:b/>
      <w:bCs/>
    </w:rPr>
  </w:style>
  <w:style w:type="paragraph" w:styleId="ListParagraph">
    <w:name w:val="List Paragraph"/>
    <w:basedOn w:val="Normal"/>
    <w:uiPriority w:val="34"/>
    <w:qFormat/>
    <w:rsid w:val="00603D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185539">
      <w:bodyDiv w:val="1"/>
      <w:marLeft w:val="0"/>
      <w:marRight w:val="0"/>
      <w:marTop w:val="0"/>
      <w:marBottom w:val="0"/>
      <w:divBdr>
        <w:top w:val="none" w:sz="0" w:space="0" w:color="auto"/>
        <w:left w:val="none" w:sz="0" w:space="0" w:color="auto"/>
        <w:bottom w:val="none" w:sz="0" w:space="0" w:color="auto"/>
        <w:right w:val="none" w:sz="0" w:space="0" w:color="auto"/>
      </w:divBdr>
    </w:div>
    <w:div w:id="120809211">
      <w:bodyDiv w:val="1"/>
      <w:marLeft w:val="0"/>
      <w:marRight w:val="0"/>
      <w:marTop w:val="0"/>
      <w:marBottom w:val="0"/>
      <w:divBdr>
        <w:top w:val="none" w:sz="0" w:space="0" w:color="auto"/>
        <w:left w:val="none" w:sz="0" w:space="0" w:color="auto"/>
        <w:bottom w:val="none" w:sz="0" w:space="0" w:color="auto"/>
        <w:right w:val="none" w:sz="0" w:space="0" w:color="auto"/>
      </w:divBdr>
    </w:div>
    <w:div w:id="264314180">
      <w:bodyDiv w:val="1"/>
      <w:marLeft w:val="0"/>
      <w:marRight w:val="0"/>
      <w:marTop w:val="0"/>
      <w:marBottom w:val="0"/>
      <w:divBdr>
        <w:top w:val="none" w:sz="0" w:space="0" w:color="auto"/>
        <w:left w:val="none" w:sz="0" w:space="0" w:color="auto"/>
        <w:bottom w:val="none" w:sz="0" w:space="0" w:color="auto"/>
        <w:right w:val="none" w:sz="0" w:space="0" w:color="auto"/>
      </w:divBdr>
    </w:div>
    <w:div w:id="335765154">
      <w:bodyDiv w:val="1"/>
      <w:marLeft w:val="0"/>
      <w:marRight w:val="0"/>
      <w:marTop w:val="0"/>
      <w:marBottom w:val="0"/>
      <w:divBdr>
        <w:top w:val="none" w:sz="0" w:space="0" w:color="auto"/>
        <w:left w:val="none" w:sz="0" w:space="0" w:color="auto"/>
        <w:bottom w:val="none" w:sz="0" w:space="0" w:color="auto"/>
        <w:right w:val="none" w:sz="0" w:space="0" w:color="auto"/>
      </w:divBdr>
    </w:div>
    <w:div w:id="482887931">
      <w:bodyDiv w:val="1"/>
      <w:marLeft w:val="0"/>
      <w:marRight w:val="0"/>
      <w:marTop w:val="0"/>
      <w:marBottom w:val="0"/>
      <w:divBdr>
        <w:top w:val="none" w:sz="0" w:space="0" w:color="auto"/>
        <w:left w:val="none" w:sz="0" w:space="0" w:color="auto"/>
        <w:bottom w:val="none" w:sz="0" w:space="0" w:color="auto"/>
        <w:right w:val="none" w:sz="0" w:space="0" w:color="auto"/>
      </w:divBdr>
    </w:div>
    <w:div w:id="512695528">
      <w:bodyDiv w:val="1"/>
      <w:marLeft w:val="0"/>
      <w:marRight w:val="0"/>
      <w:marTop w:val="0"/>
      <w:marBottom w:val="0"/>
      <w:divBdr>
        <w:top w:val="none" w:sz="0" w:space="0" w:color="auto"/>
        <w:left w:val="none" w:sz="0" w:space="0" w:color="auto"/>
        <w:bottom w:val="none" w:sz="0" w:space="0" w:color="auto"/>
        <w:right w:val="none" w:sz="0" w:space="0" w:color="auto"/>
      </w:divBdr>
      <w:divsChild>
        <w:div w:id="1790515776">
          <w:marLeft w:val="0"/>
          <w:marRight w:val="0"/>
          <w:marTop w:val="0"/>
          <w:marBottom w:val="0"/>
          <w:divBdr>
            <w:top w:val="none" w:sz="0" w:space="0" w:color="auto"/>
            <w:left w:val="none" w:sz="0" w:space="0" w:color="auto"/>
            <w:bottom w:val="none" w:sz="0" w:space="0" w:color="auto"/>
            <w:right w:val="none" w:sz="0" w:space="0" w:color="auto"/>
          </w:divBdr>
        </w:div>
      </w:divsChild>
    </w:div>
    <w:div w:id="581791925">
      <w:bodyDiv w:val="1"/>
      <w:marLeft w:val="0"/>
      <w:marRight w:val="0"/>
      <w:marTop w:val="0"/>
      <w:marBottom w:val="0"/>
      <w:divBdr>
        <w:top w:val="none" w:sz="0" w:space="0" w:color="auto"/>
        <w:left w:val="none" w:sz="0" w:space="0" w:color="auto"/>
        <w:bottom w:val="none" w:sz="0" w:space="0" w:color="auto"/>
        <w:right w:val="none" w:sz="0" w:space="0" w:color="auto"/>
      </w:divBdr>
    </w:div>
    <w:div w:id="607927142">
      <w:bodyDiv w:val="1"/>
      <w:marLeft w:val="0"/>
      <w:marRight w:val="0"/>
      <w:marTop w:val="0"/>
      <w:marBottom w:val="0"/>
      <w:divBdr>
        <w:top w:val="none" w:sz="0" w:space="0" w:color="auto"/>
        <w:left w:val="none" w:sz="0" w:space="0" w:color="auto"/>
        <w:bottom w:val="none" w:sz="0" w:space="0" w:color="auto"/>
        <w:right w:val="none" w:sz="0" w:space="0" w:color="auto"/>
      </w:divBdr>
    </w:div>
    <w:div w:id="640962260">
      <w:bodyDiv w:val="1"/>
      <w:marLeft w:val="0"/>
      <w:marRight w:val="0"/>
      <w:marTop w:val="0"/>
      <w:marBottom w:val="0"/>
      <w:divBdr>
        <w:top w:val="none" w:sz="0" w:space="0" w:color="auto"/>
        <w:left w:val="none" w:sz="0" w:space="0" w:color="auto"/>
        <w:bottom w:val="none" w:sz="0" w:space="0" w:color="auto"/>
        <w:right w:val="none" w:sz="0" w:space="0" w:color="auto"/>
      </w:divBdr>
    </w:div>
    <w:div w:id="848833319">
      <w:bodyDiv w:val="1"/>
      <w:marLeft w:val="0"/>
      <w:marRight w:val="0"/>
      <w:marTop w:val="0"/>
      <w:marBottom w:val="0"/>
      <w:divBdr>
        <w:top w:val="none" w:sz="0" w:space="0" w:color="auto"/>
        <w:left w:val="none" w:sz="0" w:space="0" w:color="auto"/>
        <w:bottom w:val="none" w:sz="0" w:space="0" w:color="auto"/>
        <w:right w:val="none" w:sz="0" w:space="0" w:color="auto"/>
      </w:divBdr>
    </w:div>
    <w:div w:id="941300531">
      <w:bodyDiv w:val="1"/>
      <w:marLeft w:val="0"/>
      <w:marRight w:val="0"/>
      <w:marTop w:val="0"/>
      <w:marBottom w:val="0"/>
      <w:divBdr>
        <w:top w:val="none" w:sz="0" w:space="0" w:color="auto"/>
        <w:left w:val="none" w:sz="0" w:space="0" w:color="auto"/>
        <w:bottom w:val="none" w:sz="0" w:space="0" w:color="auto"/>
        <w:right w:val="none" w:sz="0" w:space="0" w:color="auto"/>
      </w:divBdr>
    </w:div>
    <w:div w:id="1026371783">
      <w:bodyDiv w:val="1"/>
      <w:marLeft w:val="0"/>
      <w:marRight w:val="0"/>
      <w:marTop w:val="0"/>
      <w:marBottom w:val="0"/>
      <w:divBdr>
        <w:top w:val="none" w:sz="0" w:space="0" w:color="auto"/>
        <w:left w:val="none" w:sz="0" w:space="0" w:color="auto"/>
        <w:bottom w:val="none" w:sz="0" w:space="0" w:color="auto"/>
        <w:right w:val="none" w:sz="0" w:space="0" w:color="auto"/>
      </w:divBdr>
    </w:div>
    <w:div w:id="1079059243">
      <w:bodyDiv w:val="1"/>
      <w:marLeft w:val="0"/>
      <w:marRight w:val="0"/>
      <w:marTop w:val="0"/>
      <w:marBottom w:val="0"/>
      <w:divBdr>
        <w:top w:val="none" w:sz="0" w:space="0" w:color="auto"/>
        <w:left w:val="none" w:sz="0" w:space="0" w:color="auto"/>
        <w:bottom w:val="none" w:sz="0" w:space="0" w:color="auto"/>
        <w:right w:val="none" w:sz="0" w:space="0" w:color="auto"/>
      </w:divBdr>
    </w:div>
    <w:div w:id="1213737448">
      <w:bodyDiv w:val="1"/>
      <w:marLeft w:val="0"/>
      <w:marRight w:val="0"/>
      <w:marTop w:val="0"/>
      <w:marBottom w:val="0"/>
      <w:divBdr>
        <w:top w:val="none" w:sz="0" w:space="0" w:color="auto"/>
        <w:left w:val="none" w:sz="0" w:space="0" w:color="auto"/>
        <w:bottom w:val="none" w:sz="0" w:space="0" w:color="auto"/>
        <w:right w:val="none" w:sz="0" w:space="0" w:color="auto"/>
      </w:divBdr>
    </w:div>
    <w:div w:id="1520662353">
      <w:bodyDiv w:val="1"/>
      <w:marLeft w:val="0"/>
      <w:marRight w:val="0"/>
      <w:marTop w:val="0"/>
      <w:marBottom w:val="0"/>
      <w:divBdr>
        <w:top w:val="none" w:sz="0" w:space="0" w:color="auto"/>
        <w:left w:val="none" w:sz="0" w:space="0" w:color="auto"/>
        <w:bottom w:val="none" w:sz="0" w:space="0" w:color="auto"/>
        <w:right w:val="none" w:sz="0" w:space="0" w:color="auto"/>
      </w:divBdr>
    </w:div>
    <w:div w:id="1560284919">
      <w:bodyDiv w:val="1"/>
      <w:marLeft w:val="0"/>
      <w:marRight w:val="0"/>
      <w:marTop w:val="0"/>
      <w:marBottom w:val="0"/>
      <w:divBdr>
        <w:top w:val="none" w:sz="0" w:space="0" w:color="auto"/>
        <w:left w:val="none" w:sz="0" w:space="0" w:color="auto"/>
        <w:bottom w:val="none" w:sz="0" w:space="0" w:color="auto"/>
        <w:right w:val="none" w:sz="0" w:space="0" w:color="auto"/>
      </w:divBdr>
    </w:div>
    <w:div w:id="1795975156">
      <w:bodyDiv w:val="1"/>
      <w:marLeft w:val="0"/>
      <w:marRight w:val="0"/>
      <w:marTop w:val="0"/>
      <w:marBottom w:val="0"/>
      <w:divBdr>
        <w:top w:val="none" w:sz="0" w:space="0" w:color="auto"/>
        <w:left w:val="none" w:sz="0" w:space="0" w:color="auto"/>
        <w:bottom w:val="none" w:sz="0" w:space="0" w:color="auto"/>
        <w:right w:val="none" w:sz="0" w:space="0" w:color="auto"/>
      </w:divBdr>
    </w:div>
    <w:div w:id="1801456835">
      <w:bodyDiv w:val="1"/>
      <w:marLeft w:val="0"/>
      <w:marRight w:val="0"/>
      <w:marTop w:val="0"/>
      <w:marBottom w:val="0"/>
      <w:divBdr>
        <w:top w:val="none" w:sz="0" w:space="0" w:color="auto"/>
        <w:left w:val="none" w:sz="0" w:space="0" w:color="auto"/>
        <w:bottom w:val="none" w:sz="0" w:space="0" w:color="auto"/>
        <w:right w:val="none" w:sz="0" w:space="0" w:color="auto"/>
      </w:divBdr>
    </w:div>
    <w:div w:id="1877502354">
      <w:bodyDiv w:val="1"/>
      <w:marLeft w:val="0"/>
      <w:marRight w:val="0"/>
      <w:marTop w:val="0"/>
      <w:marBottom w:val="0"/>
      <w:divBdr>
        <w:top w:val="none" w:sz="0" w:space="0" w:color="auto"/>
        <w:left w:val="none" w:sz="0" w:space="0" w:color="auto"/>
        <w:bottom w:val="none" w:sz="0" w:space="0" w:color="auto"/>
        <w:right w:val="none" w:sz="0" w:space="0" w:color="auto"/>
      </w:divBdr>
    </w:div>
    <w:div w:id="1932395852">
      <w:bodyDiv w:val="1"/>
      <w:marLeft w:val="0"/>
      <w:marRight w:val="0"/>
      <w:marTop w:val="0"/>
      <w:marBottom w:val="0"/>
      <w:divBdr>
        <w:top w:val="none" w:sz="0" w:space="0" w:color="auto"/>
        <w:left w:val="none" w:sz="0" w:space="0" w:color="auto"/>
        <w:bottom w:val="none" w:sz="0" w:space="0" w:color="auto"/>
        <w:right w:val="none" w:sz="0" w:space="0" w:color="auto"/>
      </w:divBdr>
    </w:div>
    <w:div w:id="1994797208">
      <w:bodyDiv w:val="1"/>
      <w:marLeft w:val="0"/>
      <w:marRight w:val="0"/>
      <w:marTop w:val="0"/>
      <w:marBottom w:val="0"/>
      <w:divBdr>
        <w:top w:val="none" w:sz="0" w:space="0" w:color="auto"/>
        <w:left w:val="none" w:sz="0" w:space="0" w:color="auto"/>
        <w:bottom w:val="none" w:sz="0" w:space="0" w:color="auto"/>
        <w:right w:val="none" w:sz="0" w:space="0" w:color="auto"/>
      </w:divBdr>
    </w:div>
    <w:div w:id="2120100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Has25</b:Tag>
    <b:SourceType>JournalArticle</b:SourceType>
    <b:Guid>{C9B7CEEF-8A84-4D98-A3CC-C6C6C8828831}</b:Guid>
    <b:Title>The Architecture Treadeoff and Risk Analysis Framework (ATRAF): A unified approach for evaluating software architectures, reference architectures, and architectura; frameworks</b:Title>
    <b:Year>2025</b:Year>
    <b:Pages>1-2</b:Pages>
    <b:Author>
      <b:Author>
        <b:NameList>
          <b:Person>
            <b:Last>Hassouna</b:Last>
            <b:Middle>Ben</b:Middle>
            <b:First>Amine</b:First>
          </b:Person>
        </b:NameList>
      </b:Author>
    </b:Author>
    <b:RefOrder>2</b:RefOrder>
  </b:Source>
  <b:Source>
    <b:Tag>HAJ25</b:Tag>
    <b:SourceType>JournalArticle</b:SourceType>
    <b:Guid>{52E2490F-3189-400D-858D-4FF924154452}</b:Guid>
    <b:Title>A hybrid AHP-DEA approach for software architecture evaluation and selection</b:Title>
    <b:JournalName>urkish Journal of Electrical Engineering and Computer Science</b:JournalName>
    <b:Year>2025</b:Year>
    <b:Pages>5-23</b:Pages>
    <b:Volume>33</b:Volume>
    <b:Issue>3</b:Issue>
    <b:Author>
      <b:Author>
        <b:NameList>
          <b:Person>
            <b:Last>HAJIPOOR</b:Last>
            <b:First>MEHRAN</b:First>
          </b:Person>
          <b:Person>
            <b:Last>MOTAMENI</b:Last>
            <b:First>HOMAYUN</b:First>
          </b:Person>
          <b:Person>
            <b:Last>EBRAHIMNEJAD</b:Last>
            <b:First>ALİ</b:First>
          </b:Person>
        </b:NameList>
      </b:Author>
    </b:Author>
    <b:RefOrder>3</b:RefOrder>
  </b:Source>
  <b:Source>
    <b:Tag>Har26</b:Tag>
    <b:SourceType>InternetSite</b:SourceType>
    <b:Guid>{3594F9F0-DB26-42AD-95C6-E953C0818F2B}</b:Guid>
    <b:Title>software architecture guild</b:Title>
    <b:YearAccessed>2026</b:YearAccessed>
    <b:MonthAccessed>spetember</b:MonthAccessed>
    <b:DayAccessed>24</b:DayAccessed>
    <b:URL>https://software-architecture-guild.com/guide/architecture/styles/layered-monolith/</b:URL>
    <b:Author>
      <b:Author>
        <b:NameList>
          <b:Person>
            <b:Last>Hardzeenka</b:Last>
            <b:First>Ilya </b:First>
          </b:Person>
        </b:NameList>
      </b:Author>
    </b:Author>
    <b:RefOrder>4</b:RefOrder>
  </b:Source>
  <b:Source>
    <b:Tag>Alv25</b:Tag>
    <b:SourceType>InternetSite</b:SourceType>
    <b:Guid>{92B0F583-ED00-4361-BC91-F0D513C9D26B}</b:Guid>
    <b:Title>medium</b:Title>
    <b:Year>2025</b:Year>
    <b:YearAccessed>2026</b:YearAccessed>
    <b:MonthAccessed>september</b:MonthAccessed>
    <b:DayAccessed>24</b:DayAccessed>
    <b:URL>https://medium.com/beyond-the-brackets/the-monolith-layered-architecture-explained-f021568ae96a</b:URL>
    <b:Author>
      <b:Author>
        <b:NameList>
          <b:Person>
            <b:Last>Alvares</b:Last>
            <b:First>Stefano</b:First>
          </b:Person>
        </b:NameList>
      </b:Author>
    </b:Author>
    <b:RefOrder>5</b:RefOrder>
  </b:Source>
  <b:Source>
    <b:Tag>HER24</b:Tag>
    <b:SourceType>Report</b:SourceType>
    <b:Guid>{1B1B9898-B448-4030-9574-C8D2E55E30BD}</b:Guid>
    <b:Title>Microservices Migration Process to Spring Boot and Quarkus</b:Title>
    <b:Year>2024</b:Year>
    <b:Publisher>Masaryk University</b:Publisher>
    <b:City>Brno</b:City>
    <b:Author>
      <b:Author>
        <b:NameList>
          <b:Person>
            <b:Last>HERMANOVÁ</b:Last>
            <b:First>KATARÍNA</b:First>
          </b:Person>
        </b:NameList>
      </b:Author>
    </b:Author>
    <b:RefOrder>7</b:RefOrder>
  </b:Source>
  <b:Source>
    <b:Tag>Ozk23</b:Tag>
    <b:SourceType>InternetSite</b:SourceType>
    <b:Guid>{0757D0AD-2972-4B75-808B-8360FD1B603F}</b:Guid>
    <b:Title>medium</b:Title>
    <b:Year>2023</b:Year>
    <b:YearAccessed>2026</b:YearAccessed>
    <b:MonthAccessed>september</b:MonthAccessed>
    <b:DayAccessed>25</b:DayAccessed>
    <b:URL>https://medium.com/design-microservices-architecture-with-patterns/microservices-killer-modular-monolithic-architecture-ac83814f6862</b:URL>
    <b:Author>
      <b:Author>
        <b:NameList>
          <b:Person>
            <b:Last>Ozkaya</b:Last>
            <b:First>Mehmet</b:First>
          </b:Person>
        </b:NameList>
      </b:Author>
    </b:Author>
    <b:RefOrder>6</b:RefOrder>
  </b:Source>
  <b:Source>
    <b:Tag>Mil22</b:Tag>
    <b:SourceType>JournalArticle</b:SourceType>
    <b:Guid>{5299F087-7FB8-465B-8D34-EF070FD40EDD}</b:Guid>
    <b:Title>Development of a Quality-Based Model for Software Architecture Optimization: A Case Study of Monolith and Microservice Architectures</b:Title>
    <b:Year>2022</b:Year>
    <b:Author>
      <b:Author>
        <b:NameList>
          <b:Person>
            <b:Last>Mili´c </b:Last>
            <b:First>Miloš</b:First>
          </b:Person>
          <b:Person>
            <b:Last>Makaji´c-Nikoli´c</b:Last>
            <b:First>Dragana</b:First>
          </b:Person>
        </b:NameList>
      </b:Author>
    </b:Author>
    <b:JournalName>Symmetry</b:JournalName>
    <b:Pages>1-26</b:Pages>
    <b:RefOrder>8</b:RefOrder>
  </b:Source>
  <b:Source>
    <b:Tag>Tae24</b:Tag>
    <b:SourceType>JournalArticle</b:SourceType>
    <b:Guid>{1BDB7572-B128-4FB3-8AD4-AF31978552C8}</b:Guid>
    <b:Title>Microservices Boundary Determination Migration in DevOps: a Case Study</b:Title>
    <b:Year>2024</b:Year>
    <b:Author>
      <b:Author>
        <b:NameList>
          <b:Person>
            <b:Last>TaeiZadeh1</b:Last>
            <b:First>Ali</b:First>
          </b:Person>
          <b:Person>
            <b:Last>Lotfi2</b:Last>
            <b:First>Zahra</b:First>
          </b:Person>
          <b:Person>
            <b:Last>Ramadhan1</b:Last>
            <b:First>Ali</b:First>
          </b:Person>
        </b:NameList>
      </b:Author>
    </b:Author>
    <b:JournalName>BIO Web of Conferences</b:JournalName>
    <b:Pages>1-20</b:Pages>
    <b:Volume>97</b:Volume>
    <b:RefOrder>9</b:RefOrder>
  </b:Source>
  <b:Source>
    <b:Tag>Gud22</b:Tag>
    <b:SourceType>JournalArticle</b:SourceType>
    <b:Guid>{B172A2AA-0B3F-4BD8-9FD7-5EA37ABEACD1}</b:Guid>
    <b:Title>MICROSERVICE ARCHITECTURE: CHALLENGES, SOLUTIONS, AND BEST PRACTICES</b:Title>
    <b:JournalName>International Research Journal of Modernization in Engineering Technology and Science </b:JournalName>
    <b:Year>2022</b:Year>
    <b:Volume>VIII</b:Volume>
    <b:Issue>7</b:Issue>
    <b:Author>
      <b:Author>
        <b:NameList>
          <b:Person>
            <b:Last>Gudelli</b:Last>
            <b:Middle>Ramana</b:Middle>
            <b:First>Venkata</b:First>
          </b:Person>
        </b:NameList>
      </b:Author>
    </b:Author>
    <b:RefOrder>10</b:RefOrder>
  </b:Source>
  <b:Source>
    <b:Tag>Har24</b:Tag>
    <b:SourceType>InternetSite</b:SourceType>
    <b:Guid>{450562CA-29CE-46C7-81B3-621C07F196F3}</b:Guid>
    <b:Title>linkedin</b:Title>
    <b:Year>2024</b:Year>
    <b:YearAccessed>2026</b:YearAccessed>
    <b:MonthAccessed>september</b:MonthAccessed>
    <b:DayAccessed>26</b:DayAccessed>
    <b:URL>https://www.linkedin.com/pulse/architecturally-significant-requirements-asr-solution-harikrishnan-j-wkrsf</b:URL>
    <b:Author>
      <b:Author>
        <b:NameList>
          <b:Person>
            <b:Last>Harikrishnan</b:Last>
            <b:First>J</b:First>
          </b:Person>
        </b:NameList>
      </b:Author>
    </b:Author>
    <b:RefOrder>1</b:RefOrder>
  </b:Source>
</b:Sources>
</file>

<file path=customXml/itemProps1.xml><?xml version="1.0" encoding="utf-8"?>
<ds:datastoreItem xmlns:ds="http://schemas.openxmlformats.org/officeDocument/2006/customXml" ds:itemID="{5C9A7183-E6BB-49E1-BD21-6F7EE30E6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784</TotalTime>
  <Pages>4</Pages>
  <Words>1476</Words>
  <Characters>8417</Characters>
  <Application>Microsoft Office Word</Application>
  <DocSecurity>0</DocSecurity>
  <Lines>70</Lines>
  <Paragraphs>19</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Architecture Alternatives and Selection</vt:lpstr>
      <vt:lpstr>        Layered Monolithic Architecture</vt:lpstr>
      <vt:lpstr>    Modular Monolith</vt:lpstr>
      <vt:lpstr>        Deployment</vt:lpstr>
      <vt:lpstr>    Microservices Architecture</vt:lpstr>
      <vt:lpstr>&lt;References</vt:lpstr>
    </vt:vector>
  </TitlesOfParts>
  <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Tetelo</dc:creator>
  <cp:keywords/>
  <dc:description/>
  <cp:lastModifiedBy>Tetelo Phahladira</cp:lastModifiedBy>
  <cp:revision>8</cp:revision>
  <dcterms:created xsi:type="dcterms:W3CDTF">2026-09-22T13:43:00Z</dcterms:created>
  <dcterms:modified xsi:type="dcterms:W3CDTF">2026-09-29T22:30:00Z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679f359c-ac66-4ab5-b967-8ecf85ee0f16</vt:lpwstr>
  </property>
</Properties>
</file>