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Analysis of Sleep Quality Based on Activity and Readiness Data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employs advanced machine learning techniques to predict sleep quality from multifaceted data including daily activity levels and readiness scores. By integrating data from various sources and utilizing models such as Random Forest and Support Vector Machines (SVM), this study aims to provide actionable insights into sleep optimization and overall well-being.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an essential function that allows our bodies and minds to recharge, remains a complex phenomenon that is crucial for maintaining human health, productivity, and overall quality of life. Despite its significance, many people experience poor sleep quality, which can be detrimental to cognitive function, emotional well-being, and physical health.</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takes a holistic view of the factors affecting sleep by analyzing a range of metrics from daily activities and readiness states. Daily activities, encompassing everything from physical exercise to sedentary behavior, have been shown to have a profound impact on sleep architecture and quality. Similarly, readiness scores, which often reflect an individual's physiological preparedness for physical and mental tasks, may also correlate with sleep patterns.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interconnected world of health and technology, wearable devices have provided us with an unprecedented ability to monitor and quantify our daily lives. The data generated by these devices offer a rich source for analyzing the intricate balance between active living and restful rejuvenation.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the Problem: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well-being, the conundrum of poor sleep stands as a silent epidemic, with vast swathes of the population struggling with sleep-related issues. The central problem this research seeks to address is multifaceted: it is to understand the precise manner in which the quantifiable aspects of daily activities and readiness—measured through steps taken, calories burned, hours of inactivity, and physiological readiness scores—translate into the quality and duration of sleep.</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complexity arises from the highly individualized nature of sleep. While the general consensus is that increased physical activity leads to better sleep, the intricate details of this relationship remain elusive. For instance, does the intensity of activity matter more than the duration? How do periods of inactivity throughout the day affect one's ability to fall and stay asleep? Furthermore, how does one's physiological state of readiness, which could include stress levels and recovery rate, interplay with these activity metrics to influence sleep quality?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of our research is founded on a rigorous and systematic approach to data acquisition, preparation, and analysis with the goal of constructing predictive models that can offer reliable insights into sleep quality.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Acquisition: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sourced extensive datasets from wearable technology, which tracked a comprehensive array of metrics such as activity levels, heart rate variability, steps taken, and other indicators of physical readiness. These datasets were provided over an extended period, ensuring a robust volume of data that encompasses varying patterns of behavior and sleep.</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acquisition, we undertook a meticulous data preparation phase. This phase involved: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We addressed issues of missing values, outliers, and erroneous entries that could skew our analysis. This was particularly critical for ensuring the quality of our sleep score predictions.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Alignment: We aligned data points based on timestamps to ensure that the activity and readiness data corresponded accurately to the subsequent sleep metrics.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We extracted and constructed relevant features from raw data that could potentially influence sleep quality, such as the intensity of activity periods, duration of inactivity, and overall readiness state.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 Considering the disparate scales of the various metrics, we normalized the data to bring all variables to a common scale, facilitating more accurate comparisons and correlations.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prepared data, we moved to model selection, where we chose to implement and evaluate a variety of machine learning algorithms: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This ensemble learning method was selected for its ability to handle complex, non-linear relationships between features and was used to identify the most influential predictors of sleep quality.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(SVM): We employed SVM due to its effectiveness in high-dimensional spaces and its robustness against overfitting, making it suitable for our diverse and detailed dataset.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Each model underwent a thorough tuning process to determine the optimal set of parameters that maximized predictive accuracy.</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-Cross-validation: To assess the models' generalizability, we implemented k-fold cross-validation, which provided us with a reliable estimate of model performance on unseen data.</w:t>
        <w:br w:type="textWrapping"/>
        <w:br w:type="textWrapping"/>
      </w:r>
      <w:r w:rsidDel="00000000" w:rsidR="00000000" w:rsidRPr="00000000">
        <w:rPr>
          <w:rFonts w:ascii="Times New Roman" w:cs="Times New Roman" w:eastAsia="Times New Roman" w:hAnsi="Times New Roman"/>
          <w:b w:val="1"/>
          <w:rtl w:val="0"/>
        </w:rPr>
        <w:t xml:space="preserve">Results and Evaluation: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completion of our predictive modeling, we proceeded to the results and evaluation stage, which yielded insightful and impactful findings.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 and Predictive Accuracy: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Our analysis revealed that the Random Forest Regressor performed with high accuracy. It was particularly effective at discerning the non-linear and complex relationships within the data. The feature importance analysis, an intrinsic property of this model, highlighted that metrics such as 'Total Burn' and 'Steps' were among the most predictive of sleep quality.</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(SVM): The SVM model showcased commendable predictive power, especially in distinguishing between different levels of sleep quality. However, it required careful tuning of the kernel function to optimize its performance against the high dimensionality of the data.</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employed several metrics to evaluate our models' performance comprehensively: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-R² Score: Indicating the proportion of variance for the dependent variable that's explained by the independent variables in the model, the Random Forest yielded an R² score that suggested a strong fit to the data.</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 The models' MSE values were comparatively low, indicating close predictions to the actual values.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 (MAPE): MAPE values provided a clear indication of the models' accuracy in terms of percentage, which was particularly intuitive for stakeholders to understand the efficacy of the models.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Model Validation: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our models, we implemented a time-based split-test approach, training on historical data and testing on the most recent data to simulate real-world application and assess the models' practical utility.</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essential part of our evaluation was the balance between model accuracy and interpretability. The Random Forest model, while accurate, offered more intuitive insights through its feature importance scores. The SVM model's complexity made it less interpretable, but it provided valuable accuracy for individual predictions.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Reflecting on the goals set forth at the commencement of this research, we can confidently affirm that the project has achieved its primary objectives. The development and application of predictive models to forecast sleep quality from activity and readiness data have been both successful and enlightening. The models have provided robust insights that confirm and expand our understanding of the factors influencing sleep.</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and SVM models have proven effective in handling the complexities of multi-dimensional data, delivering predictions with a high degree of accuracy. These models have not only validated some existing theories about sleep patterns but have also uncovered less obvious insights, such as the nuanced effects of activity types and timings on sleep quality.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stands as a testament to the power of machine learning in the realm of health and wellness, demonstrating that with the right approach to data analysis, we can glean actionable insights that have real-world applications. It also reinforces the value of data-driven decision-making in personal health management, particularly in the domain of sleep.</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we anticipate several areas of enhancement: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Expansion: Incorporating a broader spectrum of demographic information to ensure our models' applicability across diverse populations.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Analysis: Developing a framework for real-time data analysis, allowing for immediate lifestyle recommendations and adjustments.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New Metrics: Exploring the inclusion of additional biometric data, such as electrodermal activity or body temperature, which may offer further insights into sleep quality.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-Interdisciplinary Collaboration: Partnering with experts in sleep medicine to interpret and validate the findings from a clinical perspective.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