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00" w:lineRule="auto"/>
        <w:jc w:val="center"/>
      </w:pPr>
      <w:r>
        <w:rPr>
          <w:rFonts w:ascii="Calibri" w:hAnsi="Calibri" w:eastAsia="微軟正黑體"/>
          <w:b/>
          <w:color w:val="1B4F5A"/>
          <w:sz w:val="48"/>
        </w:rPr>
        <w:t>Broadcom（AVGO）財報分析</w:t>
      </w:r>
    </w:p>
    <w:p>
      <w:pPr>
        <w:spacing w:after="40" w:before="0" w:line="300" w:lineRule="auto"/>
        <w:jc w:val="center"/>
      </w:pPr>
      <w:r>
        <w:rPr>
          <w:rFonts w:ascii="Calibri" w:hAnsi="Calibri" w:eastAsia="微軟正黑體"/>
          <w:b w:val="0"/>
          <w:sz w:val="26"/>
        </w:rPr>
        <w:t>FY2025 全年 ‧ Q1 FY2026 最新季報（截至 2026/02/01）</w:t>
      </w:r>
    </w:p>
    <w:p>
      <w:pPr>
        <w:spacing w:after="40" w:before="0" w:line="300" w:lineRule="auto"/>
        <w:jc w:val="center"/>
      </w:pPr>
      <w:r>
        <w:rPr>
          <w:rFonts w:ascii="Calibri" w:hAnsi="Calibri" w:eastAsia="微軟正黑體"/>
          <w:b w:val="0"/>
          <w:color w:val="555555"/>
          <w:sz w:val="20"/>
        </w:rPr>
        <w:t>NASDAQ: AVGO　|　半導體 + 基礎架構軟體　|　AI 客製化加速器（XPU）與 AI 網通領導者</w:t>
      </w:r>
    </w:p>
    <w:p>
      <w:pPr>
        <w:spacing w:after="200" w:before="0" w:line="300" w:lineRule="auto"/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國泰證券法人債券業務部 ‧ 法人業務二處　|　報告日期：2026/06/04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一、　摘要（Executive Summary）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AI 為核心成長引擎：FY2025 AI 營收達 $20B，Q1 FY2026 單季 AI 半導體營收 $8.4B、YoY +106%，佔總營收比重由一年前約 27% 拉升至約 44%。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營運規模續創高：FY2025 全年合併營收 $62.9B（+22% YoY）；Q1 FY2026 營收 $19.31B（+29% YoY），全面優於財測。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高獲利、高現金流：Q1 FY2026 營業利益率 66.4%、Adjusted EBITDA 佔營收 68%、自由現金流 $8.0B（佔營收 41%）。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能見度明確：Q2 FY2026 財測約 $22.0B（+47% YoY）；管理層對 2027 年 AI 晶片營收 line of sight 上看 $100B+，AI backlog 約 $73B、交期能見度約 18 個月。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雙引擎結構：半導體（AI 高成長）+ 基礎架構軟體（VMware，高毛利訂閱現金流）並進。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二、　公司概況</w:t>
      </w:r>
    </w:p>
    <w:p>
      <w:pPr>
        <w:spacing w:after="120" w:before="0" w:line="300" w:lineRule="auto"/>
      </w:pPr>
      <w:r>
        <w:rPr>
          <w:rFonts w:ascii="Calibri" w:hAnsi="Calibri" w:eastAsia="微軟正黑體"/>
          <w:b w:val="0"/>
          <w:sz w:val="22"/>
        </w:rPr>
        <w:t>Broadcom Inc.（NASDAQ: AVGO）為全球領先的半導體與基礎架構軟體供應商，業務分為兩大 segment：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半導體解決方案（Semiconductor Solutions）：含 AI 客製化加速器（XPU/ASIC）、AI 網通（Tomahawk / Jericho 交換器晶片、光通訊）、無線、寬頻、伺服器儲存等。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基礎架構軟體（Infrastructure Software）：以併購 VMware 為核心，提供虛擬化、雲端與企業軟體訂閱。</w:t>
      </w:r>
    </w:p>
    <w:p>
      <w:pPr>
        <w:spacing w:after="120" w:before="0" w:line="300" w:lineRule="auto"/>
      </w:pPr>
      <w:r>
        <w:rPr>
          <w:rFonts w:ascii="Calibri" w:hAnsi="Calibri" w:eastAsia="微軟正黑體"/>
          <w:b w:val="0"/>
          <w:sz w:val="22"/>
        </w:rPr>
        <w:t>公司營運模式以高市佔的關鍵元件 + 高黏著度的軟體訂閱組合，創造強勁且可預期的現金流，並以高比例配息與去槓桿回饋股東。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三、　本季財報重點（Q1 FY2026，2026/03/04 公布）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2592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本季數值</w:t>
            </w:r>
          </w:p>
        </w:tc>
        <w:tc>
          <w:tcPr>
            <w:tcW w:type="dxa" w:w="3168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YoY / 備註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合併營收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$19.31B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+29%</w:t>
            </w:r>
          </w:p>
        </w:tc>
      </w:tr>
      <w:tr>
        <w:tc>
          <w:tcPr>
            <w:tcW w:type="dxa" w:w="3456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半導體營收（紀錄）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$12.5B</w:t>
            </w:r>
          </w:p>
        </w:tc>
        <w:tc>
          <w:tcPr>
            <w:tcW w:type="dxa" w:w="3168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+52%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AI 半導體營收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$8.4B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+106%</w:t>
            </w:r>
          </w:p>
        </w:tc>
      </w:tr>
      <w:tr>
        <w:tc>
          <w:tcPr>
            <w:tcW w:type="dxa" w:w="3456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基礎架構軟體營收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約 $6.8B</w:t>
            </w:r>
          </w:p>
        </w:tc>
        <w:tc>
          <w:tcPr>
            <w:tcW w:type="dxa" w:w="3168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約 +1%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GAAP 淨利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$7.35B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GAAP EPS $1.50</w:t>
            </w:r>
          </w:p>
        </w:tc>
      </w:tr>
      <w:tr>
        <w:tc>
          <w:tcPr>
            <w:tcW w:type="dxa" w:w="3456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Non-GAAP 淨利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$10.19B</w:t>
            </w:r>
          </w:p>
        </w:tc>
        <w:tc>
          <w:tcPr>
            <w:tcW w:type="dxa" w:w="3168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Non-GAAP EPS $2.05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營業利益率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66.4%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+50 bps</w:t>
            </w:r>
          </w:p>
        </w:tc>
      </w:tr>
      <w:tr>
        <w:tc>
          <w:tcPr>
            <w:tcW w:type="dxa" w:w="3456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Adjusted EBITDA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$13.1B</w:t>
            </w:r>
          </w:p>
        </w:tc>
        <w:tc>
          <w:tcPr>
            <w:tcW w:type="dxa" w:w="3168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佔營收 68%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營運現金流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$8.26B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</w:tr>
      <w:tr>
        <w:tc>
          <w:tcPr>
            <w:tcW w:type="dxa" w:w="3456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自由現金流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$8.01B</w:t>
            </w:r>
          </w:p>
        </w:tc>
        <w:tc>
          <w:tcPr>
            <w:tcW w:type="dxa" w:w="3168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佔營收 41%</w:t>
            </w:r>
          </w:p>
        </w:tc>
      </w:tr>
      <w:tr>
        <w:tc>
          <w:tcPr>
            <w:tcW w:type="dxa" w:w="3456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季配息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$0.65 / 股</w:t>
            </w:r>
          </w:p>
        </w:tc>
        <w:tc>
          <w:tcPr>
            <w:tcW w:type="dxa" w:w="3168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Calibri" w:hAnsi="Calibri" w:eastAsia="微軟正黑體"/>
          <w:b/>
          <w:color w:val="1B4F5A"/>
          <w:sz w:val="20"/>
        </w:rPr>
        <w:t>重點：AI 加速器（XPU）＋ AI 網通雙引擎帶動半導體單季創高；軟體（VMware）提供穩定現金流。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四、　營收分析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12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圖 1　近 5 季合併營收（長條）與 YoY 成長率（折線）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304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季別</w:t>
            </w:r>
          </w:p>
        </w:tc>
        <w:tc>
          <w:tcPr>
            <w:tcW w:type="dxa" w:w="2592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合併營收</w:t>
            </w:r>
          </w:p>
        </w:tc>
        <w:tc>
          <w:tcPr>
            <w:tcW w:type="dxa" w:w="2016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YoY</w:t>
            </w:r>
          </w:p>
        </w:tc>
        <w:tc>
          <w:tcPr>
            <w:tcW w:type="dxa" w:w="2592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其中 AI 營收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Q1'25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$14.9B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$4.1B</w:t>
            </w:r>
          </w:p>
        </w:tc>
      </w:tr>
      <w:tr>
        <w:tc>
          <w:tcPr>
            <w:tcW w:type="dxa" w:w="2304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Q2'25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$15.0B</w:t>
            </w:r>
          </w:p>
        </w:tc>
        <w:tc>
          <w:tcPr>
            <w:tcW w:type="dxa" w:w="2016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+20%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$4.4B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Q3'25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$16.0B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+22%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$5.2B</w:t>
            </w:r>
          </w:p>
        </w:tc>
      </w:tr>
      <w:tr>
        <w:tc>
          <w:tcPr>
            <w:tcW w:type="dxa" w:w="2304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Q4'25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$18.0B</w:t>
            </w:r>
          </w:p>
        </w:tc>
        <w:tc>
          <w:tcPr>
            <w:tcW w:type="dxa" w:w="2016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+28%</w:t>
            </w:r>
          </w:p>
        </w:tc>
        <w:tc>
          <w:tcPr>
            <w:tcW w:type="dxa" w:w="2592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$6.3B</w:t>
            </w:r>
          </w:p>
        </w:tc>
      </w:tr>
      <w:tr>
        <w:tc>
          <w:tcPr>
            <w:tcW w:type="dxa" w:w="230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Q1'26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$19.3B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color w:val="15803D"/>
                <w:sz w:val="20"/>
              </w:rPr>
              <w:t>+29%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$8.4B</w:t>
            </w:r>
          </w:p>
        </w:tc>
      </w:tr>
    </w:tbl>
    <w:p>
      <w:pPr>
        <w:spacing w:after="40"/>
      </w:pPr>
    </w:p>
    <w:p>
      <w:pPr>
        <w:spacing w:after="120" w:before="0" w:line="300" w:lineRule="auto"/>
      </w:pPr>
      <w:r>
        <w:rPr>
          <w:rFonts w:ascii="Calibri" w:hAnsi="Calibri" w:eastAsia="微軟正黑體"/>
          <w:b w:val="0"/>
          <w:sz w:val="22"/>
        </w:rPr>
        <w:t>FY2025 全年營收 $62.9B（+22% YoY，FY2024 為 $51.6B），季營收連續創高、YoY 由 +20% 區間加速至 Q1 FY2026 的 +29%，動能主要來自 AI 半導體。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五、　AI 業務分析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712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71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圖 2　AI 半導體營收（季）與佔總營收比重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成長軌跡：AI 半導體營收由 Q1'25 約 $4.1B 成長至 Q1'26 的 $8.4B（YoY +106%）。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雙產品線：custom 加速器（XPU/ASIC）＋ AI 網通（Ethernet switch / 光通訊）。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中長期：管理層對 2027 年 AI 晶片營收 line of sight 上看 $100B+；AI backlog 約 $73B、約 18 個月交期。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Q2 FY2026 AI 半導體營收預估約 $10.7B，續創高。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六、　業務結構（Segment，FY2025）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31920" cy="43670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43670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圖 3　FY2025 兩大 segment 營收結構（約略值）</w:t>
      </w:r>
    </w:p>
    <w:p>
      <w:pPr>
        <w:spacing w:after="120" w:before="0" w:line="300" w:lineRule="auto"/>
      </w:pPr>
      <w:r>
        <w:rPr>
          <w:rFonts w:ascii="Calibri" w:hAnsi="Calibri" w:eastAsia="微軟正黑體"/>
          <w:b w:val="0"/>
          <w:sz w:val="22"/>
        </w:rPr>
        <w:t>FY2025 半導體解決方案約 $37B（約 59%），基礎架構軟體約 $26B（約 41%）。半導體提供 AI 高成長，軟體（VMware 整併）提供高毛利、可預期的訂閱現金流，兩者形成成長 + 現金流的互補結構。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七、　獲利能力與現金流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微軟正黑體"/>
          <w:b w:val="0"/>
          <w:color w:val="555555"/>
          <w:sz w:val="18"/>
        </w:rPr>
        <w:t>圖 4　FY 自由現金流 vs GAAP 淨利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獲利率：Q1 FY2026 營業利益率 66.4%（+50 bps YoY）、Adjusted EBITDA 佔營收 68%。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現金流：FY2025 自由現金流 $26.9B；Q1 FY2026 單季 FCF $8.0B（佔營收 41%），資本支出僅約 $250M（輕資產）。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獲利躍升：GAAP 淨利由 FY2024 的 $5.9B（受 VMware 併購相關費用壓抑）回升至 FY2025 的 $23.1B。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八、　財務體質與股東回報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強勁 FCF 支撐穩定配息（Q1 FY2026 季配 $0.65/股）與持續去槓桿（償還 VMware 併購相關負債）。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輕資本支出模式：以 fabless 半導體 + 軟體訂閱為主，capex 佔營收比重低，現金轉換效率高。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高毛利結構：軟體訂閱與高市佔的關鍵元件，支撐長期毛利率與營益率維持高檔。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九、　展望與財測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744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5760"/>
            <w:shd w:val="clear" w:fill="1B4F5A"/>
          </w:tcPr>
          <w:p>
            <w:pPr>
              <w:jc w:val="center"/>
            </w:pPr>
            <w:r>
              <w:rPr>
                <w:rFonts w:ascii="Calibri" w:hAnsi="Calibri" w:eastAsia="微軟正黑體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Q2 FY2026 營收財測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約 $22.0B（+47% YoY）</w:t>
            </w:r>
          </w:p>
        </w:tc>
      </w:tr>
      <w:tr>
        <w:tc>
          <w:tcPr>
            <w:tcW w:type="dxa" w:w="3744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Q2 AI 半導體營收</w:t>
            </w:r>
          </w:p>
        </w:tc>
        <w:tc>
          <w:tcPr>
            <w:tcW w:type="dxa" w:w="5760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預估約 $10.7B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2027 AI 晶片營收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line of sight 上看 $100B+</w:t>
            </w:r>
          </w:p>
        </w:tc>
      </w:tr>
      <w:tr>
        <w:tc>
          <w:tcPr>
            <w:tcW w:type="dxa" w:w="3744"/>
            <w:shd w:val="clear" w:fill="F2F4F5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AI backlog</w:t>
            </w:r>
          </w:p>
        </w:tc>
        <w:tc>
          <w:tcPr>
            <w:tcW w:type="dxa" w:w="5760"/>
            <w:shd w:val="clear" w:fill="F2F4F5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約 $73B、約 18 個月交期</w:t>
            </w:r>
          </w:p>
        </w:tc>
      </w:tr>
      <w:tr>
        <w:tc>
          <w:tcPr>
            <w:tcW w:type="dxa" w:w="3744"/>
          </w:tcPr>
          <w:p>
            <w:pPr>
              <w:jc w:val="left"/>
            </w:pPr>
            <w:r>
              <w:rPr>
                <w:rFonts w:ascii="Calibri" w:hAnsi="Calibri" w:eastAsia="微軟正黑體"/>
                <w:b w:val="0"/>
                <w:sz w:val="20"/>
              </w:rPr>
              <w:t>獲利率展望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rPr>
                <w:rFonts w:ascii="Calibri" w:hAnsi="Calibri" w:eastAsia="微軟正黑體"/>
                <w:b w:val="0"/>
                <w:sz w:val="20"/>
              </w:rPr>
              <w:t>營益率維持 66%+ 高檔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十、　投資觀點與風險</w:t>
      </w:r>
    </w:p>
    <w:p>
      <w:pPr>
        <w:spacing w:before="160" w:after="60"/>
      </w:pPr>
      <w:r>
        <w:rPr>
          <w:rFonts w:ascii="Calibri" w:hAnsi="Calibri" w:eastAsia="微軟正黑體"/>
          <w:b/>
          <w:color w:val="2B7A78"/>
          <w:sz w:val="24"/>
        </w:rPr>
        <w:t>投資觀點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AI 結構性成長 + 軟體現金流的稀有組合，AI 營收能見度高（backlog + 2027 目標）。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可作為 AI 半導體 ETF（SMH / SOXX / AIQ）權重與題材的核心觀察錨。</w:t>
      </w:r>
    </w:p>
    <w:p>
      <w:pPr>
        <w:spacing w:before="160" w:after="60"/>
      </w:pPr>
      <w:r>
        <w:rPr>
          <w:rFonts w:ascii="Calibri" w:hAnsi="Calibri" w:eastAsia="微軟正黑體"/>
          <w:b/>
          <w:color w:val="2B7A78"/>
          <w:sz w:val="24"/>
        </w:rPr>
        <w:t>主要風險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客製化 ASIC 客戶集中度高，單一超大型客戶資本支出變動影響大。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基礎架構軟體成長趨緩（Q1 約 +1%），未來成長更倚賴 AI 半導體。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評價偏高，對 AI 資本支出循環、利率與總經風險敏感。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地緣政治與出口管制對先進製程供應鏈的潛在影響。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十一、　對台灣供應鏈意義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AVGO 為台積電（TSMC）先進製程（CoWoS / N3 / N2）核心大客戶之一，XPU 放量直接拉動先進封裝需求。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AI 加速器放量 → 台系 ABF 載板、CCL、測試、散熱供應鏈受惠。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AI 網通（Tomahawk / Jericho）利多台系交換器、光通訊（CPO / 光模組）族群。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2"/>
        </w:rPr>
        <w:t>可作為觀察台股 AI 供應鏈景氣與 SMH/SOXX 連動的領先指標之一。</w:t>
      </w:r>
    </w:p>
    <w:p>
      <w:pPr>
        <w:spacing w:before="280" w:after="120"/>
        <w:pBdr>
          <w:bottom w:val="single" w:sz="6" w:space="4" w:color="1B4F5A"/>
        </w:pBdr>
      </w:pPr>
      <w:r>
        <w:rPr>
          <w:rFonts w:ascii="Calibri" w:hAnsi="Calibri" w:eastAsia="微軟正黑體"/>
          <w:b/>
          <w:color w:val="1B4F5A"/>
          <w:sz w:val="30"/>
        </w:rPr>
        <w:t>十二、　資料來源與聲明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0"/>
        </w:rPr>
        <w:t>Broadcom Inc.「Q1 FY2026 Financial Results」官方新聞稿（2026/03/04）。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0"/>
        </w:rPr>
        <w:t>Broadcom Inc.「Q4 &amp; FY2025 Financial Results」官方新聞稿（2025/12/11）。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0"/>
        </w:rPr>
        <w:t>SEC Form 8-K 財報附件（CIK 0001730168，FY2025 / FY2026 各季）。</w:t>
      </w:r>
    </w:p>
    <w:p>
      <w:pPr>
        <w:pStyle w:val="ListBullet"/>
        <w:spacing w:after="60" w:line="288" w:lineRule="auto"/>
      </w:pPr>
      <w:r>
        <w:rPr>
          <w:rFonts w:ascii="Calibri" w:hAnsi="Calibri" w:eastAsia="微軟正黑體"/>
          <w:b w:val="0"/>
          <w:sz w:val="20"/>
        </w:rPr>
        <w:t>全年數字部分由各季 SEC 8-K 加總推算；segment 為約略值，以官方 10-K 為準。</w:t>
      </w:r>
    </w:p>
    <w:p>
      <w:pPr>
        <w:spacing w:after="120" w:before="0" w:line="300" w:lineRule="auto"/>
      </w:pPr>
      <w:r>
        <w:rPr>
          <w:rFonts w:ascii="Calibri" w:hAnsi="Calibri" w:eastAsia="微軟正黑體"/>
          <w:b w:val="0"/>
          <w:color w:val="555555"/>
          <w:sz w:val="20"/>
        </w:rPr>
        <w:t>本報告僅為財報數據彙整與分析，供內部研究與法人業務參考，不構成任何投資建議或要約；投資人應自行評估風險。金額單位為美元（US$），會計期間以 Broadcom 財報年度（FY 結束於 11 月初）為準。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