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rPr>
          <w:b/>
          <w:bCs/>
        </w:rPr>
        <w:t xml:space="preserve">SmartArmor: A Low-Cost Wearable AI System for Personalized Forearm Fatigue Monitoring and Overuse-Risk Awareness in Youth Tennis Players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Ryan Wang</w:t>
      </w:r>
      <w:r>
        <w:t xml:space="preserve"> </w:t>
      </w:r>
      <w:r>
        <w:rPr>
          <w:b/>
          <w:bCs/>
        </w:rPr>
        <w:t xml:space="preserve">Mentor:</w:t>
      </w:r>
      <w:r>
        <w:t xml:space="preserve"> </w:t>
      </w:r>
      <w:r>
        <w:t xml:space="preserve">Xiaodong Wang</w:t>
      </w:r>
      <w:r>
        <w:t xml:space="preserve"> </w:t>
      </w:r>
      <w:r>
        <w:rPr>
          <w:b/>
          <w:bCs/>
        </w:rPr>
        <w:t xml:space="preserve">Division:</w:t>
      </w:r>
      <w:r>
        <w:t xml:space="preserve"> </w:t>
      </w:r>
      <w:r>
        <w:t xml:space="preserve">Senior Division |</w:t>
      </w:r>
      <w:r>
        <w:t xml:space="preserve"> </w:t>
      </w:r>
      <w:r>
        <w:rPr>
          <w:b/>
          <w:bCs/>
        </w:rPr>
        <w:t xml:space="preserve">Track:</w:t>
      </w:r>
      <w:r>
        <w:t xml:space="preserve"> </w:t>
      </w:r>
      <w:r>
        <w:t xml:space="preserve">Research &amp; Innovation — AI / Robotics</w:t>
      </w:r>
    </w:p>
    <w:p>
      <w:r>
        <w:pict>
          <v:rect style="width:0;height:1.5pt" o:hralign="center" o:hrstd="t" o:hr="t"/>
        </w:pict>
      </w:r>
    </w:p>
    <w:bookmarkStart w:id="9" w:name="project-objectives"/>
    <w:p>
      <w:pPr>
        <w:pStyle w:val="Heading3"/>
      </w:pPr>
      <w:r>
        <w:t xml:space="preserve">1. Project Objectives</w:t>
      </w:r>
    </w:p>
    <w:p>
      <w:pPr>
        <w:pStyle w:val="FirstParagraph"/>
      </w:pPr>
      <w:r>
        <w:t xml:space="preserve">Tennis elbow, shoulder impingement, and wrist tendinopathy are common overuse problems in youth</w:t>
      </w:r>
      <w:r>
        <w:t xml:space="preserve"> </w:t>
      </w:r>
      <w:r>
        <w:t xml:space="preserve">tennis. They often share a common mechanism: repeated arm load exceeding recovery capacity over</w:t>
      </w:r>
      <w:r>
        <w:t xml:space="preserve"> </w:t>
      </w:r>
      <w:r>
        <w:t xml:space="preserve">weeks and months. Most young athletes only realize their arm is overloaded once soreness</w:t>
      </w:r>
      <w:r>
        <w:t xml:space="preserve"> </w:t>
      </w:r>
      <w:r>
        <w:t xml:space="preserve">appears — when recovery may already require reduced training.</w:t>
      </w:r>
    </w:p>
    <w:p>
      <w:pPr>
        <w:pStyle w:val="BodyText"/>
      </w:pPr>
      <w:r>
        <w:t xml:space="preserve">This project has three objectives: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a low-cost wearable sensor system (under $50) that can record muscle electrical</w:t>
      </w:r>
      <w:r>
        <w:t xml:space="preserve"> </w:t>
      </w:r>
      <w:r>
        <w:t xml:space="preserve">signals (EMG) and motion data (IMU) from a tennis player’s forearm during real practice sessions.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those signals to extract objective biomarkers of forearm fatigue — metrics that</w:t>
      </w:r>
      <w:r>
        <w:t xml:space="preserve"> </w:t>
      </w:r>
      <w:r>
        <w:t xml:space="preserve">estimate local muscle fatigue, not just how tired the player feels.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Train a personalized AI model</w:t>
      </w:r>
      <w:r>
        <w:t xml:space="preserve"> </w:t>
      </w:r>
      <w:r>
        <w:t xml:space="preserve">that learns how one player’s forearm load relates to</w:t>
      </w:r>
      <w:r>
        <w:t xml:space="preserve"> </w:t>
      </w:r>
      <w:r>
        <w:t xml:space="preserve">next-morning soreness and next-session readiness, enabling earlier load-management decisions.</w:t>
      </w:r>
    </w:p>
    <w:p>
      <w:pPr>
        <w:pStyle w:val="FirstParagraph"/>
      </w:pPr>
      <w:r>
        <w:t xml:space="preserve">The ultimate goal is a system that can tell a young athlete:</w:t>
      </w:r>
      <w:r>
        <w:t xml:space="preserve"> </w:t>
      </w:r>
      <w:r>
        <w:rPr>
          <w:i/>
          <w:iCs/>
        </w:rPr>
        <w:t xml:space="preserve">“Your forearm load is unusually high</w:t>
      </w:r>
      <w:r>
        <w:rPr>
          <w:i/>
          <w:iCs/>
        </w:rPr>
        <w:t xml:space="preserve"> </w:t>
      </w:r>
      <w:r>
        <w:rPr>
          <w:i/>
          <w:iCs/>
        </w:rPr>
        <w:t xml:space="preserve">compared with your recent recovery pattern. Consider rest or reduced serving volume today.”</w:t>
      </w:r>
      <w:r>
        <w:t xml:space="preserve"> </w:t>
      </w:r>
      <w:r>
        <w:t xml:space="preserve">No</w:t>
      </w:r>
      <w:r>
        <w:t xml:space="preserve"> </w:t>
      </w:r>
      <w:r>
        <w:t xml:space="preserve">doctor visit, no expensive equipment, no guessing.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-motivation"/>
    <w:p>
      <w:pPr>
        <w:pStyle w:val="Heading3"/>
      </w:pPr>
      <w:r>
        <w:t xml:space="preserve">2. Background &amp; Motivation</w:t>
      </w:r>
    </w:p>
    <w:p>
      <w:pPr>
        <w:pStyle w:val="FirstParagraph"/>
      </w:pPr>
      <w:r>
        <w:t xml:space="preserve">Upper-extremity overuse injuries are common in competitive youth tennis. Lateral epicondylitis,</w:t>
      </w:r>
      <w:r>
        <w:t xml:space="preserve"> </w:t>
      </w:r>
      <w:r>
        <w:t xml:space="preserve">shoulder impingement, and wrist tendinopathy often involve the same load-management problem:</w:t>
      </w:r>
      <w:r>
        <w:t xml:space="preserve"> </w:t>
      </w:r>
      <w:r>
        <w:t xml:space="preserve">cumulative arm load exceeding recovery capacity over days to weeks. Unlike acute injuries, overuse</w:t>
      </w:r>
      <w:r>
        <w:t xml:space="preserve"> </w:t>
      </w:r>
      <w:r>
        <w:t xml:space="preserve">can build gradually — a player may feel fine after one session but develop soreness after repeated</w:t>
      </w:r>
      <w:r>
        <w:t xml:space="preserve"> </w:t>
      </w:r>
      <w:r>
        <w:t xml:space="preserve">high-load practices without adequate recovery.</w:t>
      </w:r>
    </w:p>
    <w:p>
      <w:pPr>
        <w:pStyle w:val="BodyText"/>
      </w:pPr>
      <w:r>
        <w:t xml:space="preserve">Existing tools fail youth athletes at both ends: professional EMG systems (Delsys Trigno, Noraxon)</w:t>
      </w:r>
      <w:r>
        <w:t xml:space="preserve"> </w:t>
      </w:r>
      <w:r>
        <w:t xml:space="preserve">cost $8,000–$15,000 and require lab setup; consumer trackers (Apple Watch, Garmin) measure heart</w:t>
      </w:r>
      <w:r>
        <w:t xml:space="preserve"> </w:t>
      </w:r>
      <w:r>
        <w:t xml:space="preserve">rate but cannot detect muscle-specific forearm fatigue — a more local signal related to the arm</w:t>
      </w:r>
      <w:r>
        <w:t xml:space="preserve"> </w:t>
      </w:r>
      <w:r>
        <w:t xml:space="preserve">structures stressed in tennis elbow.</w:t>
      </w:r>
    </w:p>
    <w:p>
      <w:pPr>
        <w:pStyle w:val="BodyText"/>
      </w:pPr>
      <w:r>
        <w:rPr>
          <w:b/>
          <w:bCs/>
        </w:rPr>
        <w:t xml:space="preserve">The science:</w:t>
      </w:r>
      <w:r>
        <w:t xml:space="preserve"> </w:t>
      </w:r>
      <w:r>
        <w:t xml:space="preserve">When a muscle fatigues, the frequency content of its EMG signal often shifts lower, causing the</w:t>
      </w:r>
      <w:r>
        <w:t xml:space="preserve"> </w:t>
      </w:r>
      <w:r>
        <w:t xml:space="preserve">Median Frequency (MDF) to decrease measurably — a well-established fatigue marker (Merletti &amp; Parker, 2004).</w:t>
      </w:r>
      <w:r>
        <w:t xml:space="preserve"> </w:t>
      </w:r>
      <w:r>
        <w:t xml:space="preserve">In dynamic sports like tennis, however, standard EMG analysis breaks down: swings are fast,</w:t>
      </w:r>
      <w:r>
        <w:t xml:space="preserve"> </w:t>
      </w:r>
      <w:r>
        <w:t xml:space="preserve">non-repetitive, and artifact-prone. Because dry-electrode EMG can also drift during sweat and</w:t>
      </w:r>
      <w:r>
        <w:t xml:space="preserve"> </w:t>
      </w:r>
      <w:r>
        <w:t xml:space="preserve">motion, SmartArmor scores each session for signal quality before using any data for AI — bad</w:t>
      </w:r>
      <w:r>
        <w:t xml:space="preserve"> </w:t>
      </w:r>
      <w:r>
        <w:t xml:space="preserve">sessions flagged as low quality are excluded or reviewed before AI training.</w:t>
      </w:r>
    </w:p>
    <w:p>
      <w:pPr>
        <w:pStyle w:val="BodyText"/>
      </w:pPr>
      <w:r>
        <w:t xml:space="preserve">For youth players, developing tissues and growth plates make load management especially important.</w:t>
      </w:r>
      <w:r>
        <w:t xml:space="preserve"> </w:t>
      </w:r>
      <w:r>
        <w:t xml:space="preserve">A low-cost system that flags rising forearm load and declining readiness before soreness escalates</w:t>
      </w:r>
      <w:r>
        <w:t xml:space="preserve"> </w:t>
      </w:r>
      <w:r>
        <w:t xml:space="preserve">would be transformative for any young athlete whose family cannot afford sports medicine monitoring.</w:t>
      </w:r>
    </w:p>
    <w:p>
      <w:r>
        <w:pict>
          <v:rect style="width:0;height:1.5pt" o:hralign="center" o:hrstd="t" o:hr="t"/>
        </w:pict>
      </w:r>
    </w:p>
    <w:bookmarkEnd w:id="10"/>
    <w:bookmarkStart w:id="17" w:name="methodology-technical-approach"/>
    <w:p>
      <w:pPr>
        <w:pStyle w:val="Heading3"/>
      </w:pPr>
      <w:r>
        <w:t xml:space="preserve">3. Methodology / Technical Approach</w:t>
      </w:r>
    </w:p>
    <w:p>
      <w:pPr>
        <w:pStyle w:val="FirstParagraph"/>
      </w:pPr>
      <w:r>
        <w:t xml:space="preserve">SmartArmor has three layers: (1) a wearable sensor node, (2) a signal processing pipeline, and</w:t>
      </w:r>
      <w:r>
        <w:t xml:space="preserve"> </w:t>
      </w:r>
      <w:r>
        <w:t xml:space="preserve">(3) a personalized AI model. Figure 1 shows the full architecture.</w:t>
      </w:r>
    </w:p>
    <w:p>
      <w:pPr>
        <w:pStyle w:val="BodyText"/>
      </w:pPr>
      <w:r>
        <w:rPr>
          <w:b/>
          <w:bCs/>
        </w:rPr>
        <w:t xml:space="preserve">Layer 1: Wearable Sensor Hardware</w:t>
      </w:r>
    </w:p>
    <w:p>
      <w:pPr>
        <w:pStyle w:val="BodyText"/>
      </w:pPr>
      <w:r>
        <w:t xml:space="preserve">Off-the-shelf components; prototype sensor node electronics BOM under $50 (excluding host phone/laptop):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MyoWare 2.0 EMG sensor</w:t>
      </w:r>
      <w:r>
        <w:t xml:space="preserve"> </w:t>
      </w:r>
      <w:r>
        <w:t xml:space="preserve">— surface electrode on the forearm extensor muscles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ICM-20948 9-axis IMU</w:t>
      </w:r>
      <w:r>
        <w:t xml:space="preserve"> </w:t>
      </w:r>
      <w:r>
        <w:t xml:space="preserve">— 3-axis accelerometer + gyroscope for swing detection and load quantification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ESP32 microcontroller</w:t>
      </w:r>
      <w:r>
        <w:t xml:space="preserve"> </w:t>
      </w:r>
      <w:r>
        <w:t xml:space="preserve">— streams data via Bluetooth Low Energy (BLE) at 2,000 Hz (EMG) and 200 Hz (IMU)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LiPo battery</w:t>
      </w:r>
      <w:r>
        <w:t xml:space="preserve"> </w:t>
      </w:r>
      <w:r>
        <w:t xml:space="preserve">— 6–8 hours per charge</w:t>
      </w:r>
    </w:p>
    <w:p>
      <w:pPr>
        <w:pStyle w:val="CaptionedFigure"/>
      </w:pPr>
      <w:r>
        <w:drawing>
          <wp:inline>
            <wp:extent cx="4533900" cy="1862248"/>
            <wp:effectExtent b="0" l="0" r="0" t="0"/>
            <wp:docPr descr="SmartArmor system architecture" title="" id="12" name="Picture"/>
            <a:graphic>
              <a:graphicData uri="http://schemas.openxmlformats.org/drawingml/2006/picture">
                <pic:pic>
                  <pic:nvPicPr>
                    <pic:cNvPr descr="../icpics_figures/fig_system_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6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SmartArmor system architecture</w:t>
      </w:r>
    </w:p>
    <w:p>
      <w:pPr>
        <w:pStyle w:val="BodyText"/>
      </w:pPr>
      <w:r>
        <w:rPr>
          <w:i/>
          <w:iCs/>
        </w:rPr>
        <w:t xml:space="preserve">Figure 1. System architecture: MyoWare 2.0 EMG + ICM-20948 IMU → ESP32 → BLE → laptop/Android for capture, processing, and AI readiness prediction.</w:t>
      </w:r>
    </w:p>
    <w:p>
      <w:pPr>
        <w:pStyle w:val="BodyText"/>
      </w:pPr>
      <w:r>
        <w:rPr>
          <w:b/>
          <w:bCs/>
        </w:rPr>
        <w:t xml:space="preserve">Layer 2: Signal Processing</w:t>
      </w:r>
    </w:p>
    <w:p>
      <w:pPr>
        <w:pStyle w:val="BodyText"/>
      </w:pPr>
      <w:r>
        <w:t xml:space="preserve">Custom software on a laptop or Android phone processes the BLE stream:</w:t>
      </w:r>
      <w:r>
        <w:t xml:space="preserve"> </w:t>
      </w:r>
      <w:r>
        <w:t xml:space="preserve">Both RAW and envelope EMG channels are recorded — RAW is required for frequency-domain biomarkers</w:t>
      </w:r>
      <w:r>
        <w:t xml:space="preserve"> </w:t>
      </w:r>
      <w:r>
        <w:t xml:space="preserve">such as MDF, while the envelope supports live signal-quality checks. EMG is bandpass filtered</w:t>
      </w:r>
      <w:r>
        <w:t xml:space="preserve"> </w:t>
      </w:r>
      <w:r>
        <w:t xml:space="preserve">(20–450 Hz), notch filtered (60 Hz), and envelope-extracted. The IMU gyroscope detects each</w:t>
      </w:r>
      <w:r>
        <w:t xml:space="preserve"> </w:t>
      </w:r>
      <w:r>
        <w:t xml:space="preserve">tennis swing automatically (peak &gt; 300°/s), enabling per-swing analysis rather than treating the</w:t>
      </w:r>
      <w:r>
        <w:t xml:space="preserve"> </w:t>
      </w:r>
      <w:r>
        <w:t xml:space="preserve">whole session as one signal. Each session is quality-scored (usable / questionable / reject) based</w:t>
      </w:r>
      <w:r>
        <w:t xml:space="preserve"> </w:t>
      </w:r>
      <w:r>
        <w:t xml:space="preserve">on contact drift and artifact level — bad sessions are excluded from AI training. Each swing</w:t>
      </w:r>
      <w:r>
        <w:t xml:space="preserve"> </w:t>
      </w:r>
      <w:r>
        <w:t xml:space="preserve">yields an 18-feature vector: EMG time-domain (RMS, MAV, waveform length), frequency-domain</w:t>
      </w:r>
      <w:r>
        <w:t xml:space="preserve"> </w:t>
      </w:r>
      <w:r>
        <w:t xml:space="preserve">(MDF, mean frequency, spectral slope), envelope statistics, and IMU kinematics (peak</w:t>
      </w:r>
      <w:r>
        <w:t xml:space="preserve"> </w:t>
      </w:r>
      <w:r>
        <w:t xml:space="preserve">acceleration, peak angular velocity, rotational load).</w:t>
      </w:r>
    </w:p>
    <w:p>
      <w:pPr>
        <w:pStyle w:val="BodyText"/>
      </w:pPr>
      <w:r>
        <w:rPr>
          <w:b/>
          <w:bCs/>
        </w:rPr>
        <w:t xml:space="preserve">Layer 3: Personalized AI</w:t>
      </w:r>
    </w:p>
    <w:p>
      <w:pPr>
        <w:pStyle w:val="BodyText"/>
      </w:pPr>
      <w:r>
        <w:t xml:space="preserve">AI is needed because forearm load is not captured by one signal alone: EMG frequency, EMG</w:t>
      </w:r>
      <w:r>
        <w:t xml:space="preserve"> </w:t>
      </w:r>
      <w:r>
        <w:t xml:space="preserve">amplitude, swing intensity, stroke count, recovery spacing, and prior soreness all interact</w:t>
      </w:r>
      <w:r>
        <w:t xml:space="preserve"> </w:t>
      </w:r>
      <w:r>
        <w:t xml:space="preserve">differently for each player. Two components work together:</w:t>
      </w:r>
    </w:p>
    <w:p>
      <w:pPr>
        <w:pStyle w:val="BodyText"/>
      </w:pPr>
      <w:r>
        <w:rPr>
          <w:i/>
          <w:iCs/>
        </w:rPr>
        <w:t xml:space="preserve">Component A — Per-swing load index:</w:t>
      </w:r>
      <w:r>
        <w:t xml:space="preserve"> </w:t>
      </w:r>
      <w:r>
        <w:t xml:space="preserve">A Random Forest model assigns each swing a load score</w:t>
      </w:r>
      <w:r>
        <w:t xml:space="preserve"> </w:t>
      </w:r>
      <w:r>
        <w:t xml:space="preserve">based on its time position in the session (early = low load, late = high load), calibrated</w:t>
      </w:r>
      <w:r>
        <w:t xml:space="preserve"> </w:t>
      </w:r>
      <w:r>
        <w:t xml:space="preserve">against the player’s post-session exertion ratings. Six session-level summaries are produced:</w:t>
      </w:r>
      <w:r>
        <w:t xml:space="preserve"> </w:t>
      </w:r>
      <w:r>
        <w:t xml:space="preserve">late-session load depth, high-load swing fraction, load onset timing, load slope, EMG/IMU</w:t>
      </w:r>
      <w:r>
        <w:t xml:space="preserve"> </w:t>
      </w:r>
      <w:r>
        <w:t xml:space="preserve">disagreement rate, and model confidence.</w:t>
      </w:r>
    </w:p>
    <w:p>
      <w:pPr>
        <w:pStyle w:val="BodyText"/>
      </w:pPr>
      <w:r>
        <w:rPr>
          <w:i/>
          <w:iCs/>
        </w:rPr>
        <w:t xml:space="preserve">Component B — Cross-session readiness regression (main AI contribution):</w:t>
      </w:r>
      <w:r>
        <w:t xml:space="preserve"> </w:t>
      </w:r>
      <w:r>
        <w:t xml:space="preserve">An elastic net</w:t>
      </w:r>
      <w:r>
        <w:t xml:space="preserve"> </w:t>
      </w:r>
      <w:r>
        <w:t xml:space="preserve">regression trained on 40+ sessions takes Component A summaries plus workload features</w:t>
      </w:r>
      <w:r>
        <w:t xml:space="preserve"> </w:t>
      </w:r>
      <w:r>
        <w:t xml:space="preserve">(stroke count, serve-specific gyro impulse, acute-to-chronic load ratio) and predicts:</w:t>
      </w:r>
      <w:r>
        <w:t xml:space="preserve"> </w:t>
      </w:r>
      <w:r>
        <w:rPr>
          <w:b/>
          <w:bCs/>
        </w:rPr>
        <w:t xml:space="preserve">next-morning forearm soreness</w:t>
      </w:r>
      <w:r>
        <w:t xml:space="preserve"> </w:t>
      </w:r>
      <w:r>
        <w:t xml:space="preserve">(0–10) and</w:t>
      </w:r>
      <w:r>
        <w:t xml:space="preserve"> </w:t>
      </w:r>
      <w:r>
        <w:rPr>
          <w:b/>
          <w:bCs/>
        </w:rPr>
        <w:t xml:space="preserve">next-session readiness</w:t>
      </w:r>
      <w:r>
        <w:t xml:space="preserve"> </w:t>
      </w:r>
      <w:r>
        <w:t xml:space="preserve">(1–5). The player</w:t>
      </w:r>
      <w:r>
        <w:t xml:space="preserve"> </w:t>
      </w:r>
      <w:r>
        <w:t xml:space="preserve">rates these via a 2-minute phone survey after each session. The model learns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specific</w:t>
      </w:r>
      <w:r>
        <w:t xml:space="preserve"> </w:t>
      </w:r>
      <w:r>
        <w:t xml:space="preserve">load-to-recovery pattern — not a population average.</w:t>
      </w:r>
    </w:p>
    <w:p>
      <w:pPr>
        <w:pStyle w:val="BodyText"/>
      </w:pPr>
      <w:r>
        <w:rPr>
          <w:b/>
          <w:bCs/>
        </w:rPr>
        <w:t xml:space="preserve">Stroke-aware load:</w:t>
      </w:r>
      <w:r>
        <w:t xml:space="preserve"> </w:t>
      </w:r>
      <w:r>
        <w:t xml:space="preserve">SmartArmor estimates serve-like versus groundstroke-like swings from IMU</w:t>
      </w:r>
      <w:r>
        <w:t xml:space="preserve"> </w:t>
      </w:r>
      <w:r>
        <w:t xml:space="preserve">peak patterns. Serve-like swings show higher rotational impulse in pilot data, so their load is</w:t>
      </w:r>
      <w:r>
        <w:t xml:space="preserve"> </w:t>
      </w:r>
      <w:r>
        <w:t xml:space="preserve">tracked separately from generic swing count. Video annotation is planned to quantify</w:t>
      </w:r>
      <w:r>
        <w:t xml:space="preserve"> </w:t>
      </w:r>
      <w:r>
        <w:t xml:space="preserve">classification accuracy; until then, stroke-type separation is treated as exploratory.</w:t>
      </w:r>
    </w:p>
    <w:p>
      <w:pPr>
        <w:pStyle w:val="BodyText"/>
      </w:pPr>
      <w:r>
        <w:rPr>
          <w:b/>
          <w:bCs/>
        </w:rPr>
        <w:t xml:space="preserve">Data collected to date:</w:t>
      </w:r>
      <w:r>
        <w:t xml:space="preserve"> </w:t>
      </w:r>
      <w:r>
        <w:t xml:space="preserve">Multiple real practice sessions captured, EMG and IMU time-aligned</w:t>
      </w:r>
      <w:r>
        <w:t xml:space="preserve"> </w:t>
      </w:r>
      <w:r>
        <w:t xml:space="preserve">to within 1 ms. Swing detection and quality scoring are working. MDF fatigue-consistent trends</w:t>
      </w:r>
      <w:r>
        <w:t xml:space="preserve"> </w:t>
      </w:r>
      <w:r>
        <w:t xml:space="preserve">confirmed in pilot sessions (Figure 2). Session-level load summaries show early correlation</w:t>
      </w:r>
      <w:r>
        <w:t xml:space="preserve"> </w:t>
      </w:r>
      <w:r>
        <w:t xml:space="preserve">with post-session forearm exertion ratings. Longitudinal collection (target: 40–60 sessions)</w:t>
      </w:r>
      <w:r>
        <w:t xml:space="preserve"> </w:t>
      </w:r>
      <w:r>
        <w:t xml:space="preserve">is ongoing.</w:t>
      </w:r>
    </w:p>
    <w:p>
      <w:pPr>
        <w:pStyle w:val="CaptionedFigure"/>
      </w:pPr>
      <w:r>
        <w:drawing>
          <wp:inline>
            <wp:extent cx="2816352" cy="2560320"/>
            <wp:effectExtent b="0" l="0" r="0" t="0"/>
            <wp:docPr descr="MDF three-phase trajectory" title="" id="15" name="Picture"/>
            <a:graphic>
              <a:graphicData uri="http://schemas.openxmlformats.org/drawingml/2006/picture">
                <pic:pic>
                  <pic:nvPicPr>
                    <pic:cNvPr descr="../paper_figures/fig2_electrode_settlin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352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MDF three-phase trajectory</w:t>
      </w:r>
    </w:p>
    <w:p>
      <w:pPr>
        <w:pStyle w:val="BodyText"/>
      </w:pPr>
      <w:r>
        <w:rPr>
          <w:i/>
          <w:iCs/>
        </w:rPr>
        <w:t xml:space="preserve">Figure 2. MDF three-phase trajectory (63 min session, 826 swings): Phase I settling (0–21 min), Phase II stable reference at 166 Hz (21–42 min), Phase III fatigue-consistent decline to 149 Hz (42–63 min). IMU swing intensity remains approximately stable across phases, suggesting the late-session MDF decline reflects muscle fatigue rather than reduced effort; ongoing impedance and quality-control checks separate physiological fatigue from electrode drift.</w:t>
      </w:r>
    </w:p>
    <w:p>
      <w:pPr>
        <w:pStyle w:val="BodyText"/>
      </w:pPr>
      <w:r>
        <w:t xml:space="preserve">The longitudinal dataset collection (40–60 sessions for AI model training) is ongoing.</w:t>
      </w:r>
    </w:p>
    <w:p>
      <w:r>
        <w:pict>
          <v:rect style="width:0;height:1.5pt" o:hralign="center" o:hrstd="t" o:hr="t"/>
        </w:pict>
      </w:r>
    </w:p>
    <w:bookmarkEnd w:id="17"/>
    <w:bookmarkStart w:id="18" w:name="key-innovation"/>
    <w:p>
      <w:pPr>
        <w:pStyle w:val="Heading3"/>
      </w:pPr>
      <w:r>
        <w:t xml:space="preserve">4. Key Innovation</w:t>
      </w:r>
    </w:p>
    <w:p>
      <w:pPr>
        <w:pStyle w:val="FirstParagraph"/>
      </w:pPr>
      <w:r>
        <w:t xml:space="preserve">SmartArmor is designed to combine five elements that are rarely available together in youth-sports</w:t>
      </w:r>
      <w:r>
        <w:t xml:space="preserve"> </w:t>
      </w:r>
      <w:r>
        <w:t xml:space="preserve">monitoring: low-cost forearm EMG, real-tennis data capture, session quality scoring, stroke-aware</w:t>
      </w:r>
      <w:r>
        <w:t xml:space="preserve"> </w:t>
      </w:r>
      <w:r>
        <w:t xml:space="preserve">load tracking, and personalized readiness modeling.</w:t>
      </w:r>
    </w:p>
    <w:p>
      <w:pPr>
        <w:pStyle w:val="BodyText"/>
      </w:pPr>
      <w:r>
        <w:rPr>
          <w:b/>
          <w:bCs/>
        </w:rPr>
        <w:t xml:space="preserve">Innovation 1: Low-cost ecological validity</w:t>
      </w:r>
    </w:p>
    <w:p>
      <w:pPr>
        <w:pStyle w:val="BodyText"/>
      </w:pPr>
      <w:r>
        <w:t xml:space="preserve">SmartArmor’s sensor node costs under $50 in electronics BOM and works during actual practice —</w:t>
      </w:r>
      <w:r>
        <w:t xml:space="preserve"> </w:t>
      </w:r>
      <w:r>
        <w:t xml:space="preserve">not only in lab isometric contractions — enabling quality-controlled EMG data collection across a</w:t>
      </w:r>
      <w:r>
        <w:t xml:space="preserve"> </w:t>
      </w:r>
      <w:r>
        <w:t xml:space="preserve">full competitive season.</w:t>
      </w:r>
    </w:p>
    <w:p>
      <w:pPr>
        <w:pStyle w:val="BodyText"/>
      </w:pPr>
      <w:r>
        <w:rPr>
          <w:b/>
          <w:bCs/>
        </w:rPr>
        <w:t xml:space="preserve">Innovation 2: Quality-aware processing</w:t>
      </w:r>
    </w:p>
    <w:p>
      <w:pPr>
        <w:pStyle w:val="BodyText"/>
      </w:pPr>
      <w:r>
        <w:t xml:space="preserve">Dry electrodes in sports settings can produce noisy, artifact-prone signals. SmartArmor explicitly</w:t>
      </w:r>
      <w:r>
        <w:t xml:space="preserve"> </w:t>
      </w:r>
      <w:r>
        <w:t xml:space="preserve">detects and flags bad sessions — and quantifies what would happen if bad data were included in</w:t>
      </w:r>
      <w:r>
        <w:t xml:space="preserve"> </w:t>
      </w:r>
      <w:r>
        <w:t xml:space="preserve">the model. This quality-aware design makes the AI more trustworthy than a pipeline that treats</w:t>
      </w:r>
      <w:r>
        <w:t xml:space="preserve"> </w:t>
      </w:r>
      <w:r>
        <w:t xml:space="preserve">all sensor data as equally reliable.</w:t>
      </w:r>
    </w:p>
    <w:p>
      <w:pPr>
        <w:pStyle w:val="BodyText"/>
      </w:pPr>
      <w:r>
        <w:rPr>
          <w:b/>
          <w:bCs/>
        </w:rPr>
        <w:t xml:space="preserve">Innovation 3: Stroke-aware load accounting</w:t>
      </w:r>
    </w:p>
    <w:p>
      <w:pPr>
        <w:pStyle w:val="BodyText"/>
      </w:pPr>
      <w:r>
        <w:t xml:space="preserve">By estimating serve-like versus groundstroke-like load from IMU patterns, the system tracks</w:t>
      </w:r>
      <w:r>
        <w:t xml:space="preserve"> </w:t>
      </w:r>
      <w:r>
        <w:t xml:space="preserve">high-rotation swing load separately from generic swing count. Video annotation is planned to</w:t>
      </w:r>
      <w:r>
        <w:t xml:space="preserve"> </w:t>
      </w:r>
      <w:r>
        <w:t xml:space="preserve">validate this separation; preliminary data shows serve-like swings carry higher rotational</w:t>
      </w:r>
      <w:r>
        <w:t xml:space="preserve"> </w:t>
      </w:r>
      <w:r>
        <w:t xml:space="preserve">impulse than groundstrokes.</w:t>
      </w:r>
    </w:p>
    <w:p>
      <w:pPr>
        <w:pStyle w:val="BodyText"/>
      </w:pPr>
      <w:r>
        <w:rPr>
          <w:b/>
          <w:bCs/>
        </w:rPr>
        <w:t xml:space="preserve">Innovation 4: Personalized intra-to-inter session AI</w:t>
      </w:r>
    </w:p>
    <w:p>
      <w:pPr>
        <w:pStyle w:val="BodyText"/>
      </w:pPr>
      <w:r>
        <w:t xml:space="preserve">The central novelty is bridging</w:t>
      </w:r>
      <w:r>
        <w:t xml:space="preserve"> </w:t>
      </w:r>
      <w:r>
        <w:rPr>
          <w:i/>
          <w:iCs/>
        </w:rPr>
        <w:t xml:space="preserve">within-session</w:t>
      </w:r>
      <w:r>
        <w:t xml:space="preserve"> </w:t>
      </w:r>
      <w:r>
        <w:t xml:space="preserve">load depth to</w:t>
      </w:r>
      <w:r>
        <w:t xml:space="preserve"> </w:t>
      </w:r>
      <w:r>
        <w:rPr>
          <w:i/>
          <w:iCs/>
        </w:rPr>
        <w:t xml:space="preserve">next-session</w:t>
      </w:r>
      <w:r>
        <w:t xml:space="preserve"> </w:t>
      </w:r>
      <w:r>
        <w:t xml:space="preserve">readiness. Most</w:t>
      </w:r>
      <w:r>
        <w:t xml:space="preserve"> </w:t>
      </w:r>
      <w:r>
        <w:t xml:space="preserve">fatigue detection research asks</w:t>
      </w:r>
      <w:r>
        <w:t xml:space="preserve"> </w:t>
      </w:r>
      <w:r>
        <w:t xml:space="preserve">“is this athlete tired right now?”</w:t>
      </w:r>
      <w:r>
        <w:t xml:space="preserve"> </w:t>
      </w:r>
      <w:r>
        <w:t xml:space="preserve">SmartArmor asks a more</w:t>
      </w:r>
      <w:r>
        <w:t xml:space="preserve"> </w:t>
      </w:r>
      <w:r>
        <w:t xml:space="preserve">actionable question:</w:t>
      </w:r>
      <w:r>
        <w:t xml:space="preserve"> </w:t>
      </w:r>
      <w:r>
        <w:t xml:space="preserve">“given how loaded the arm was during today’s session, how recovered is the</w:t>
      </w:r>
      <w:r>
        <w:t xml:space="preserve"> </w:t>
      </w:r>
      <w:r>
        <w:t xml:space="preserve">player likely to be tomorrow?”</w:t>
      </w:r>
      <w:r>
        <w:t xml:space="preserve"> </w:t>
      </w:r>
      <w:r>
        <w:t xml:space="preserve">This session-to-session prediction loop, trained on an individual</w:t>
      </w:r>
      <w:r>
        <w:t xml:space="preserve"> </w:t>
      </w:r>
      <w:r>
        <w:t xml:space="preserve">player’s own data, is the key research novelty of SmartArmor.</w:t>
      </w:r>
    </w:p>
    <w:p>
      <w:r>
        <w:pict>
          <v:rect style="width:0;height:1.5pt" o:hralign="center" o:hrstd="t" o:hr="t"/>
        </w:pict>
      </w:r>
    </w:p>
    <w:bookmarkEnd w:id="18"/>
    <w:bookmarkStart w:id="22" w:name="results-findings"/>
    <w:p>
      <w:pPr>
        <w:pStyle w:val="Heading3"/>
      </w:pPr>
      <w:r>
        <w:t xml:space="preserve">5. Results / Findings</w:t>
      </w:r>
    </w:p>
    <w:p>
      <w:pPr>
        <w:pStyle w:val="FirstParagraph"/>
      </w:pPr>
      <w:r>
        <w:rPr>
          <w:b/>
          <w:bCs/>
        </w:rPr>
        <w:t xml:space="preserve">A. Completed: prototype and signal validation</w:t>
      </w:r>
    </w:p>
    <w:p>
      <w:pPr>
        <w:pStyle w:val="Compact"/>
        <w:numPr>
          <w:ilvl w:val="0"/>
          <w:numId w:val="1003"/>
        </w:numPr>
      </w:pPr>
      <w:r>
        <w:t xml:space="preserve">BLE streaming, time-alignment (~1 ms), swing detection, and session quality scoring all working in real practice conditions</w:t>
      </w:r>
    </w:p>
    <w:p>
      <w:pPr>
        <w:pStyle w:val="Compact"/>
        <w:numPr>
          <w:ilvl w:val="0"/>
          <w:numId w:val="1003"/>
        </w:numPr>
      </w:pPr>
      <w:r>
        <w:t xml:space="preserve">MDF shows fatigue-consistent downward trends in the late session phase after electrode settling (Figure 2)</w:t>
      </w:r>
    </w:p>
    <w:p>
      <w:pPr>
        <w:pStyle w:val="Compact"/>
        <w:numPr>
          <w:ilvl w:val="0"/>
          <w:numId w:val="1003"/>
        </w:numPr>
      </w:pPr>
      <w:r>
        <w:t xml:space="preserve">Within-session MDF CV ~39–47%: tennis swings are highly non-stationary, confirming a single threshold cannot work</w:t>
      </w:r>
    </w:p>
    <w:p>
      <w:pPr>
        <w:pStyle w:val="Compact"/>
        <w:numPr>
          <w:ilvl w:val="0"/>
          <w:numId w:val="1003"/>
        </w:numPr>
      </w:pPr>
      <w:r>
        <w:t xml:space="preserve">In pilot data, motion artifact correlation between IMU magnitude and EMG envelope was low (r ≈ 0.006), suggesting EMG captures muscle activation rather than arm motion</w:t>
      </w:r>
    </w:p>
    <w:p>
      <w:pPr>
        <w:pStyle w:val="FirstParagraph"/>
      </w:pPr>
      <w:r>
        <w:rPr>
          <w:b/>
          <w:bCs/>
        </w:rPr>
        <w:t xml:space="preserve">B. Preliminary: load-index and session-level features</w:t>
      </w:r>
    </w:p>
    <w:p>
      <w:pPr>
        <w:pStyle w:val="BodyText"/>
      </w:pPr>
      <w:r>
        <w:t xml:space="preserve">The per-swing Random Forest is used as a weak-label load estimator — not a standalone fatigue</w:t>
      </w:r>
      <w:r>
        <w:t xml:space="preserve"> </w:t>
      </w:r>
      <w:r>
        <w:t xml:space="preserve">classifier. Its session-level summaries (late-session load depth, high-load swing fraction, load</w:t>
      </w:r>
      <w:r>
        <w:t xml:space="preserve"> </w:t>
      </w:r>
      <w:r>
        <w:t xml:space="preserve">slope) show early correlation with post-session forearm exertion ratings. Preliminary data shows</w:t>
      </w:r>
      <w:r>
        <w:t xml:space="preserve"> </w:t>
      </w:r>
      <w:r>
        <w:t xml:space="preserve">serve-like swings carry higher rotational impulse than groundstrokes; video annotation is planned</w:t>
      </w:r>
      <w:r>
        <w:t xml:space="preserve"> </w:t>
      </w:r>
      <w:r>
        <w:t xml:space="preserve">to confirm stroke-type accuracy.</w:t>
      </w:r>
    </w:p>
    <w:p>
      <w:pPr>
        <w:pStyle w:val="CaptionedFigure"/>
      </w:pPr>
      <w:r>
        <w:drawing>
          <wp:inline>
            <wp:extent cx="3733800" cy="1723292"/>
            <wp:effectExtent b="0" l="0" r="0" t="0"/>
            <wp:docPr descr="Per-swing MDF vs time in session by intensity" title="" id="20" name="Picture"/>
            <a:graphic>
              <a:graphicData uri="http://schemas.openxmlformats.org/drawingml/2006/picture">
                <pic:pic>
                  <pic:nvPicPr>
                    <pic:cNvPr descr="../paper_figures/fig13_swing_intensity_stratific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Per-swing MDF vs time in session by intensity</w:t>
      </w:r>
    </w:p>
    <w:p>
      <w:pPr>
        <w:pStyle w:val="BodyText"/>
      </w:pPr>
      <w:r>
        <w:rPr>
          <w:i/>
          <w:iCs/>
        </w:rPr>
        <w:t xml:space="preserve">Figure 3. Per-swing MDF vs. time in session, stratified by IMU swing intensity. The MDF decline over time persists consistently across low-, mid-, and high-intensity swing groups, suggesting the within-session load trend is not explained solely by effort variation.</w:t>
      </w:r>
    </w:p>
    <w:p>
      <w:pPr>
        <w:pStyle w:val="BodyText"/>
      </w:pPr>
      <w:r>
        <w:rPr>
          <w:b/>
          <w:bCs/>
        </w:rPr>
        <w:t xml:space="preserve">C. In progress: longitudinal readiness model</w:t>
      </w:r>
    </w:p>
    <w:p>
      <w:pPr>
        <w:pStyle w:val="BodyText"/>
      </w:pPr>
      <w:r>
        <w:t xml:space="preserve">After 40+ valid sessions, we will test whether EMG + IMU load biomarkers outperform volume-only</w:t>
      </w:r>
      <w:r>
        <w:t xml:space="preserve"> </w:t>
      </w:r>
      <w:r>
        <w:t xml:space="preserve">baselines for predicting next-morning soreness (target: r &gt; 0.5, RMSE &lt; 1.5) and next-session</w:t>
      </w:r>
      <w:r>
        <w:t xml:space="preserve"> </w:t>
      </w:r>
      <w:r>
        <w:t xml:space="preserve">readiness (target: ΔR² &gt; 0.05 over best volume baseline).</w:t>
      </w:r>
    </w:p>
    <w:p>
      <w:r>
        <w:pict>
          <v:rect style="width:0;height:1.5pt" o:hralign="center" o:hrstd="t" o:hr="t"/>
        </w:pict>
      </w:r>
    </w:p>
    <w:bookmarkEnd w:id="22"/>
    <w:bookmarkStart w:id="23" w:name="impact-future-development"/>
    <w:p>
      <w:pPr>
        <w:pStyle w:val="Heading3"/>
      </w:pPr>
      <w:r>
        <w:t xml:space="preserve">6. Impact / Future Development</w:t>
      </w:r>
    </w:p>
    <w:p>
      <w:pPr>
        <w:pStyle w:val="FirstParagraph"/>
      </w:pPr>
      <w:r>
        <w:rPr>
          <w:b/>
          <w:bCs/>
        </w:rPr>
        <w:t xml:space="preserve">Immediate impact:</w:t>
      </w:r>
      <w:r>
        <w:t xml:space="preserve"> </w:t>
      </w:r>
      <w:r>
        <w:t xml:space="preserve">Any youth tennis player with a smartphone and a $50 sensor kit could monitor</w:t>
      </w:r>
      <w:r>
        <w:t xml:space="preserve"> </w:t>
      </w:r>
      <w:r>
        <w:t xml:space="preserve">their own forearm load and receive readiness guidance before their next practice —</w:t>
      </w:r>
      <w:r>
        <w:t xml:space="preserve"> </w:t>
      </w:r>
      <w:r>
        <w:t xml:space="preserve">accessible to club players, school teams, and self-coached athletes with no sports medicine staff.</w:t>
      </w:r>
      <w:r>
        <w:t xml:space="preserve"> </w:t>
      </w:r>
      <w:r>
        <w:t xml:space="preserve">Parents can make informed rest decisions after tournaments. Coaches gain an objective load signal</w:t>
      </w:r>
      <w:r>
        <w:t xml:space="preserve"> </w:t>
      </w:r>
      <w:r>
        <w:t xml:space="preserve">to review each session, enabling intelligent load management before injury warning signs appear.</w:t>
      </w:r>
    </w:p>
    <w:p>
      <w:pPr>
        <w:pStyle w:val="BodyText"/>
      </w:pPr>
      <w:r>
        <w:rPr>
          <w:b/>
          <w:bCs/>
        </w:rPr>
        <w:t xml:space="preserve">Broader applicability:</w:t>
      </w:r>
      <w:r>
        <w:t xml:space="preserve"> </w:t>
      </w:r>
      <w:r>
        <w:t xml:space="preserve">The same quality-aware EMG/IMU approach could be adapted to other</w:t>
      </w:r>
      <w:r>
        <w:t xml:space="preserve"> </w:t>
      </w:r>
      <w:r>
        <w:t xml:space="preserve">repeated-load sports such as baseball pitching, volleyball spiking, swimming, badminton, squash,</w:t>
      </w:r>
      <w:r>
        <w:t xml:space="preserve"> </w:t>
      </w:r>
      <w:r>
        <w:t xml:space="preserve">and pickleball. Each sport would require its own sensor placement and movement-detection</w:t>
      </w:r>
      <w:r>
        <w:t xml:space="preserve"> </w:t>
      </w:r>
      <w:r>
        <w:t xml:space="preserve">validation, but the core idea — local muscle sensing, motion load, quality scoring, and</w:t>
      </w:r>
      <w:r>
        <w:t xml:space="preserve"> </w:t>
      </w:r>
      <w:r>
        <w:t xml:space="preserve">personalized recovery modeling — is sport-agnostic.</w:t>
      </w:r>
    </w:p>
    <w:p>
      <w:pPr>
        <w:pStyle w:val="BodyText"/>
      </w:pPr>
      <w:r>
        <w:rPr>
          <w:b/>
          <w:bCs/>
        </w:rPr>
        <w:t xml:space="preserve">Development roadmap:</w:t>
      </w:r>
      <w:r>
        <w:t xml:space="preserve"> </w:t>
      </w:r>
      <w:r>
        <w:t xml:space="preserve">(1) Complete 40–60 session dataset and validate the readiness model;</w:t>
      </w:r>
      <w:r>
        <w:t xml:space="preserve"> </w:t>
      </w:r>
      <w:r>
        <w:t xml:space="preserve">publish findings. (2) Miniaturize into a production PCB sleeve with a mobile app. (3) Pilot</w:t>
      </w:r>
      <w:r>
        <w:t xml:space="preserve"> </w:t>
      </w:r>
      <w:r>
        <w:t xml:space="preserve">with 3–5 youth players to test generalization. (4) Open-source the full hardware and software.</w:t>
      </w:r>
    </w:p>
    <w:p>
      <w:pPr>
        <w:pStyle w:val="BodyText"/>
      </w:pPr>
      <w:r>
        <w:t xml:space="preserve">The long-term vision is to give every young athlete an affordable early-warning signal for rising</w:t>
      </w:r>
      <w:r>
        <w:t xml:space="preserve"> </w:t>
      </w:r>
      <w:r>
        <w:t xml:space="preserve">forearm load and declining recovery — so rest decisions can be made before soreness becomes a</w:t>
      </w:r>
      <w:r>
        <w:t xml:space="preserve"> </w:t>
      </w:r>
      <w:r>
        <w:t xml:space="preserve">long-term problem.</w:t>
      </w:r>
    </w:p>
    <w:p>
      <w:r>
        <w:pict>
          <v:rect style="width:0;height:1.5pt" o:hralign="center" o:hrstd="t" o:hr="t"/>
        </w:pict>
      </w:r>
    </w:p>
    <w:bookmarkEnd w:id="23"/>
    <w:bookmarkStart w:id="24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Foster, C. et al. (2001). A new approach to monitoring exercise training.</w:t>
      </w:r>
      <w:r>
        <w:t xml:space="preserve"> </w:t>
      </w:r>
      <w:r>
        <w:rPr>
          <w:i/>
          <w:iCs/>
        </w:rPr>
        <w:t xml:space="preserve">Journal of Strength and Conditioning Research</w:t>
      </w:r>
      <w:r>
        <w:t xml:space="preserve">, 15(1), 109–115.</w:t>
      </w:r>
    </w:p>
    <w:p>
      <w:pPr>
        <w:pStyle w:val="Compact"/>
        <w:numPr>
          <w:ilvl w:val="0"/>
          <w:numId w:val="1004"/>
        </w:numPr>
      </w:pPr>
      <w:r>
        <w:t xml:space="preserve">Merletti, R., &amp; Parker, P. (2004).</w:t>
      </w:r>
      <w:r>
        <w:t xml:space="preserve"> </w:t>
      </w:r>
      <w:r>
        <w:rPr>
          <w:i/>
          <w:iCs/>
        </w:rPr>
        <w:t xml:space="preserve">Electromyography: Physiology, Engineering, and Noninvasive Applications.</w:t>
      </w:r>
      <w:r>
        <w:t xml:space="preserve"> </w:t>
      </w:r>
      <w:r>
        <w:t xml:space="preserve">IEEE Press / Wiley.</w:t>
      </w:r>
    </w:p>
    <w:p>
      <w:pPr>
        <w:pStyle w:val="Compact"/>
        <w:numPr>
          <w:ilvl w:val="0"/>
          <w:numId w:val="1004"/>
        </w:numPr>
      </w:pPr>
      <w:r>
        <w:t xml:space="preserve">Gabbett, T. J. (2016). The training-injury prevention paradox: should athletes be training smarter and harder?</w:t>
      </w:r>
      <w:r>
        <w:t xml:space="preserve"> </w:t>
      </w:r>
      <w:r>
        <w:rPr>
          <w:i/>
          <w:iCs/>
        </w:rPr>
        <w:t xml:space="preserve">British Journal of Sports Medicine</w:t>
      </w:r>
      <w:r>
        <w:t xml:space="preserve">, 50(5), 273–280.</w:t>
      </w:r>
    </w:p>
    <w:p>
      <w:pPr>
        <w:pStyle w:val="Compact"/>
        <w:numPr>
          <w:ilvl w:val="0"/>
          <w:numId w:val="1004"/>
        </w:numPr>
      </w:pPr>
      <w:r>
        <w:t xml:space="preserve">Rota, S. et al. (2014). Fatigue and recovery in tennis. In</w:t>
      </w:r>
      <w:r>
        <w:t xml:space="preserve"> </w:t>
      </w:r>
      <w:r>
        <w:rPr>
          <w:i/>
          <w:iCs/>
        </w:rPr>
        <w:t xml:space="preserve">Tennis Medicine</w:t>
      </w:r>
      <w:r>
        <w:t xml:space="preserve"> </w:t>
      </w:r>
      <w:r>
        <w:t xml:space="preserve">(pp. 311–325). Springer.</w:t>
      </w:r>
    </w:p>
    <w:p>
      <w:pPr>
        <w:pStyle w:val="Compact"/>
        <w:numPr>
          <w:ilvl w:val="0"/>
          <w:numId w:val="1004"/>
        </w:numPr>
      </w:pPr>
      <w:r>
        <w:t xml:space="preserve">Phinyomark, A. et al. (2018). EMG feature evaluation for improving myoelectric pattern recognition robustness.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112, 403–422.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2026-06-15T00:00:01Z</dcterms:created>
  <dcterms:modified xsi:type="dcterms:W3CDTF">2026-06-15T00:00:01Z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