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B9" w:rsidRDefault="00D74447" w:rsidP="0091185E">
      <w:pPr>
        <w:pStyle w:val="Heading1"/>
      </w:pPr>
      <w:r>
        <w:t>CertifKit workshop Project</w:t>
      </w:r>
    </w:p>
    <w:p w:rsidR="0091185E" w:rsidRDefault="0091185E" w:rsidP="0091185E">
      <w:pPr>
        <w:pStyle w:val="Heading2"/>
      </w:pPr>
      <w:r>
        <w:t>Concept</w:t>
      </w:r>
    </w:p>
    <w:p w:rsidR="0091185E" w:rsidRDefault="0091185E" w:rsidP="0091185E">
      <w:r>
        <w:t xml:space="preserve">The repository contains all the </w:t>
      </w:r>
      <w:r w:rsidR="00946D80">
        <w:t xml:space="preserve">presentations, </w:t>
      </w:r>
      <w:r>
        <w:t>scripts, models, report templates, configuration files required to present a ‘</w:t>
      </w:r>
      <w:r w:rsidR="00363497">
        <w:t>proposed ex</w:t>
      </w:r>
      <w:r>
        <w:t xml:space="preserve">ample’ activity workflow to follow a </w:t>
      </w:r>
      <w:r w:rsidR="00347E08">
        <w:t xml:space="preserve">certification </w:t>
      </w:r>
      <w:r>
        <w:t>standard</w:t>
      </w:r>
      <w:r w:rsidR="00363497">
        <w:t xml:space="preserve"> for projects using MBD</w:t>
      </w:r>
      <w:r>
        <w:t>.</w:t>
      </w:r>
    </w:p>
    <w:p w:rsidR="0091185E" w:rsidRDefault="0091185E" w:rsidP="0091185E">
      <w:r>
        <w:t>The idea of the demo is to show all the tools and functions in</w:t>
      </w:r>
      <w:r w:rsidR="00347E08">
        <w:t xml:space="preserve"> the MathWorks tool </w:t>
      </w:r>
      <w:r>
        <w:t>suite t</w:t>
      </w:r>
      <w:r w:rsidR="00363497">
        <w:t xml:space="preserve">hat can be used to achieve the </w:t>
      </w:r>
      <w:r>
        <w:t xml:space="preserve">certification of the customer’s </w:t>
      </w:r>
      <w:r w:rsidR="00363497">
        <w:t xml:space="preserve">project and </w:t>
      </w:r>
      <w:r>
        <w:t>design</w:t>
      </w:r>
      <w:r w:rsidR="00363497">
        <w:t xml:space="preserve"> to a given standard</w:t>
      </w:r>
      <w:r>
        <w:t>.</w:t>
      </w:r>
    </w:p>
    <w:p w:rsidR="00946D80" w:rsidRDefault="00946D80" w:rsidP="0091185E">
      <w:r>
        <w:t>The presentation can be used to present the standard and the required activities. The scripts and models are used to demonstrate the activity on a simple design.</w:t>
      </w:r>
    </w:p>
    <w:p w:rsidR="0091185E" w:rsidRDefault="0091185E">
      <w:r>
        <w:t>The currently supported standards are:</w:t>
      </w:r>
    </w:p>
    <w:p w:rsidR="0091185E" w:rsidRDefault="001338CE" w:rsidP="0091185E">
      <w:pPr>
        <w:pStyle w:val="ListParagraph"/>
        <w:numPr>
          <w:ilvl w:val="0"/>
          <w:numId w:val="1"/>
        </w:numPr>
      </w:pPr>
      <w:r>
        <w:t>ISO26262</w:t>
      </w:r>
    </w:p>
    <w:p w:rsidR="0091185E" w:rsidRDefault="001338CE" w:rsidP="0091185E">
      <w:pPr>
        <w:pStyle w:val="ListParagraph"/>
        <w:numPr>
          <w:ilvl w:val="0"/>
          <w:numId w:val="1"/>
        </w:numPr>
      </w:pPr>
      <w:r>
        <w:t>DO178</w:t>
      </w:r>
    </w:p>
    <w:p w:rsidR="001338CE" w:rsidRDefault="001338CE" w:rsidP="0091185E">
      <w:pPr>
        <w:pStyle w:val="ListParagraph"/>
        <w:numPr>
          <w:ilvl w:val="0"/>
          <w:numId w:val="1"/>
        </w:numPr>
      </w:pPr>
      <w:r>
        <w:t>IEC62304</w:t>
      </w:r>
    </w:p>
    <w:p w:rsidR="0091185E" w:rsidRDefault="001338CE" w:rsidP="0091185E">
      <w:pPr>
        <w:pStyle w:val="ListParagraph"/>
        <w:numPr>
          <w:ilvl w:val="0"/>
          <w:numId w:val="1"/>
        </w:numPr>
      </w:pPr>
      <w:r>
        <w:t>DO254  (in progress)</w:t>
      </w:r>
    </w:p>
    <w:p w:rsidR="0091185E" w:rsidRDefault="00787DB1" w:rsidP="0091185E">
      <w:pPr>
        <w:pStyle w:val="ListParagraph"/>
        <w:numPr>
          <w:ilvl w:val="0"/>
          <w:numId w:val="1"/>
        </w:numPr>
      </w:pPr>
      <w:r>
        <w:t>E</w:t>
      </w:r>
      <w:r w:rsidR="00432D38">
        <w:t>N5012</w:t>
      </w:r>
      <w:r>
        <w:t xml:space="preserve">8, </w:t>
      </w:r>
      <w:r w:rsidR="0091185E">
        <w:t>IEC6</w:t>
      </w:r>
      <w:r w:rsidR="00784D5C">
        <w:t xml:space="preserve">2279 </w:t>
      </w:r>
      <w:r w:rsidR="001338CE">
        <w:t>(in progress)</w:t>
      </w:r>
    </w:p>
    <w:p w:rsidR="0091185E" w:rsidRDefault="0091185E">
      <w:r>
        <w:t xml:space="preserve">Repository is located here: </w:t>
      </w:r>
      <w:hyperlink r:id="rId9" w:history="1">
        <w:r w:rsidRPr="002243F9">
          <w:rPr>
            <w:rStyle w:val="Hyperlink"/>
          </w:rPr>
          <w:t>http://svn.mi.mathworks.com/general_psp/HighIntegrityWorkshops/</w:t>
        </w:r>
      </w:hyperlink>
    </w:p>
    <w:p w:rsidR="0089294C" w:rsidRDefault="0089294C" w:rsidP="0089294C">
      <w:r>
        <w:t>In the workshop, the following tools are demonstrated:</w:t>
      </w:r>
    </w:p>
    <w:p w:rsidR="0089294C" w:rsidRDefault="0089294C" w:rsidP="0089294C">
      <w:pPr>
        <w:pStyle w:val="ListParagraph"/>
        <w:numPr>
          <w:ilvl w:val="0"/>
          <w:numId w:val="1"/>
        </w:numPr>
      </w:pPr>
      <w:r>
        <w:t>SimulinkProject</w:t>
      </w:r>
    </w:p>
    <w:p w:rsidR="0089294C" w:rsidRDefault="0089294C" w:rsidP="0089294C">
      <w:pPr>
        <w:pStyle w:val="ListParagraph"/>
        <w:numPr>
          <w:ilvl w:val="0"/>
          <w:numId w:val="1"/>
        </w:numPr>
      </w:pPr>
      <w:r>
        <w:t>Report Generator, WebView reports</w:t>
      </w:r>
    </w:p>
    <w:p w:rsidR="0089294C" w:rsidRDefault="0089294C" w:rsidP="0089294C">
      <w:pPr>
        <w:pStyle w:val="ListParagraph"/>
        <w:numPr>
          <w:ilvl w:val="0"/>
          <w:numId w:val="1"/>
        </w:numPr>
      </w:pPr>
      <w:r>
        <w:t>Model Advisor</w:t>
      </w:r>
    </w:p>
    <w:p w:rsidR="0089294C" w:rsidRDefault="0089294C" w:rsidP="0089294C">
      <w:pPr>
        <w:pStyle w:val="ListParagraph"/>
        <w:numPr>
          <w:ilvl w:val="0"/>
          <w:numId w:val="1"/>
        </w:numPr>
      </w:pPr>
      <w:r>
        <w:t>Simulink Design Verifier</w:t>
      </w:r>
    </w:p>
    <w:p w:rsidR="0089294C" w:rsidRDefault="0089294C" w:rsidP="0089294C">
      <w:pPr>
        <w:pStyle w:val="ListParagraph"/>
        <w:numPr>
          <w:ilvl w:val="0"/>
          <w:numId w:val="1"/>
        </w:numPr>
      </w:pPr>
      <w:r>
        <w:t>Simulink: Requirement linking and reports</w:t>
      </w:r>
    </w:p>
    <w:p w:rsidR="0089294C" w:rsidRDefault="0089294C" w:rsidP="0089294C">
      <w:pPr>
        <w:pStyle w:val="ListParagraph"/>
        <w:numPr>
          <w:ilvl w:val="0"/>
          <w:numId w:val="1"/>
        </w:numPr>
      </w:pPr>
      <w:r>
        <w:t>Simulink: Simulation on Host</w:t>
      </w:r>
    </w:p>
    <w:p w:rsidR="0089294C" w:rsidRDefault="0089294C" w:rsidP="0089294C">
      <w:pPr>
        <w:pStyle w:val="ListParagraph"/>
        <w:numPr>
          <w:ilvl w:val="0"/>
          <w:numId w:val="1"/>
        </w:numPr>
      </w:pPr>
      <w:r>
        <w:t>Coverage tools</w:t>
      </w:r>
    </w:p>
    <w:p w:rsidR="0089294C" w:rsidRDefault="0089294C" w:rsidP="0089294C">
      <w:pPr>
        <w:pStyle w:val="ListParagraph"/>
        <w:numPr>
          <w:ilvl w:val="0"/>
          <w:numId w:val="1"/>
        </w:numPr>
      </w:pPr>
      <w:r>
        <w:t>Simulink Code Inspector</w:t>
      </w:r>
    </w:p>
    <w:p w:rsidR="0089294C" w:rsidRDefault="0089294C" w:rsidP="0089294C">
      <w:pPr>
        <w:pStyle w:val="ListParagraph"/>
        <w:numPr>
          <w:ilvl w:val="0"/>
          <w:numId w:val="1"/>
        </w:numPr>
      </w:pPr>
      <w:r>
        <w:t>Simulink: Simulation in SIL mode</w:t>
      </w:r>
    </w:p>
    <w:p w:rsidR="0089294C" w:rsidRDefault="0089294C" w:rsidP="0089294C">
      <w:r>
        <w:br w:type="page"/>
      </w:r>
    </w:p>
    <w:p w:rsidR="0089294C" w:rsidRDefault="0089294C">
      <w:pPr>
        <w:rPr>
          <w:rFonts w:asciiTheme="majorHAnsi" w:eastAsiaTheme="majorEastAsia" w:hAnsiTheme="majorHAnsi" w:cstheme="majorBidi"/>
          <w:b/>
          <w:bCs/>
          <w:color w:val="4F81BD" w:themeColor="accent1"/>
          <w:sz w:val="26"/>
          <w:szCs w:val="26"/>
        </w:rPr>
      </w:pPr>
    </w:p>
    <w:p w:rsidR="003465CF" w:rsidRDefault="003465CF" w:rsidP="00603754">
      <w:pPr>
        <w:pStyle w:val="Heading1"/>
      </w:pPr>
      <w:r>
        <w:t xml:space="preserve">How to </w:t>
      </w:r>
      <w:r w:rsidR="000120FC">
        <w:t>Prepare</w:t>
      </w:r>
    </w:p>
    <w:p w:rsidR="00883DDD" w:rsidRDefault="00883DDD" w:rsidP="00883DDD">
      <w:pPr>
        <w:pStyle w:val="Heading3"/>
      </w:pPr>
      <w:r>
        <w:t>Set-up</w:t>
      </w:r>
    </w:p>
    <w:p w:rsidR="00671582" w:rsidRDefault="00C4692B" w:rsidP="001338CE">
      <w:r>
        <w:t>Check</w:t>
      </w:r>
      <w:r w:rsidR="004A08B1">
        <w:t xml:space="preserve"> out the demo from the repository above.</w:t>
      </w:r>
      <w:r w:rsidR="001338CE">
        <w:t xml:space="preserve"> </w:t>
      </w:r>
    </w:p>
    <w:p w:rsidR="00671582" w:rsidRDefault="00671582" w:rsidP="00671582">
      <w:pPr>
        <w:pStyle w:val="Heading4"/>
      </w:pPr>
      <w:r>
        <w:t>Option 1: (use when developing the workshop material)</w:t>
      </w:r>
    </w:p>
    <w:p w:rsidR="004A08B1" w:rsidRDefault="001338CE" w:rsidP="004A08B1">
      <w:r>
        <w:t>T</w:t>
      </w:r>
      <w:r w:rsidR="00463D9A">
        <w:t xml:space="preserve">o demonstrate a given standard, </w:t>
      </w:r>
      <w:r>
        <w:t>go into the corresponding /</w:t>
      </w:r>
      <w:proofErr w:type="spellStart"/>
      <w:r>
        <w:t>Certif</w:t>
      </w:r>
      <w:proofErr w:type="spellEnd"/>
      <w:r>
        <w:t xml:space="preserve">/&lt;standard&gt; folder and </w:t>
      </w:r>
      <w:proofErr w:type="spellStart"/>
      <w:r>
        <w:t>startup</w:t>
      </w:r>
      <w:proofErr w:type="spellEnd"/>
      <w:r>
        <w:t xml:space="preserve"> the Simulink project in there. For example: /</w:t>
      </w:r>
      <w:proofErr w:type="spellStart"/>
      <w:r>
        <w:t>Certif</w:t>
      </w:r>
      <w:proofErr w:type="spellEnd"/>
      <w:r>
        <w:t>/DO178/Autopilot_DO178.prj.</w:t>
      </w:r>
    </w:p>
    <w:p w:rsidR="001338CE" w:rsidRDefault="001338CE" w:rsidP="004A08B1">
      <w:r>
        <w:t xml:space="preserve">In this mode, the project is linked to the development repository and any work you do to the project can be checked into the development workshop repository. Here, shortcuts and labels should be managed so they are setup the way that should server as a baseline for running the customer presentations. </w:t>
      </w:r>
    </w:p>
    <w:p w:rsidR="00DD7FF5" w:rsidRDefault="00671582" w:rsidP="00671582">
      <w:pPr>
        <w:pStyle w:val="Heading4"/>
      </w:pPr>
      <w:r>
        <w:t>Option 2: Used for customer presentations</w:t>
      </w:r>
    </w:p>
    <w:p w:rsidR="001338CE" w:rsidRDefault="001338CE" w:rsidP="004A08B1">
      <w:r>
        <w:t xml:space="preserve">For customer presentations the workshop should be extracted into a separate directory, this can be done with the </w:t>
      </w:r>
      <w:proofErr w:type="spellStart"/>
      <w:r>
        <w:t>startupWorkshop</w:t>
      </w:r>
      <w:proofErr w:type="spellEnd"/>
      <w:r>
        <w:t xml:space="preserve"> shortcut. This will copy all of the workshops into a separate folder and create a local repository to run against. </w:t>
      </w:r>
    </w:p>
    <w:p w:rsidR="0089294C" w:rsidRDefault="0089294C" w:rsidP="004A08B1">
      <w:r>
        <w:t>Having a separate local repository is essential because it allows you to demonstrate the workshop even if you are not connected to the MathWorks network.</w:t>
      </w:r>
    </w:p>
    <w:p w:rsidR="000120FC" w:rsidRDefault="000120FC">
      <w:pPr>
        <w:rPr>
          <w:rFonts w:asciiTheme="majorHAnsi" w:eastAsiaTheme="majorEastAsia" w:hAnsiTheme="majorHAnsi" w:cstheme="majorBidi"/>
          <w:b/>
          <w:bCs/>
          <w:color w:val="4F81BD" w:themeColor="accent1"/>
          <w:sz w:val="26"/>
          <w:szCs w:val="26"/>
        </w:rPr>
      </w:pPr>
      <w:r>
        <w:br w:type="page"/>
      </w:r>
    </w:p>
    <w:p w:rsidR="00883DDD" w:rsidRDefault="000120FC" w:rsidP="00603754">
      <w:pPr>
        <w:pStyle w:val="Heading1"/>
      </w:pPr>
      <w:r>
        <w:lastRenderedPageBreak/>
        <w:t xml:space="preserve">How to </w:t>
      </w:r>
      <w:r w:rsidR="00C4692B">
        <w:t xml:space="preserve">present and </w:t>
      </w:r>
      <w:r>
        <w:t>run</w:t>
      </w:r>
      <w:r w:rsidR="00883DDD">
        <w:t xml:space="preserve"> the demo</w:t>
      </w:r>
    </w:p>
    <w:p w:rsidR="00C87905" w:rsidRDefault="00C87905" w:rsidP="001338CE">
      <w:r>
        <w:t xml:space="preserve">Open the </w:t>
      </w:r>
      <w:r w:rsidR="00DF1622">
        <w:t>PowerPoint</w:t>
      </w:r>
      <w:r>
        <w:t xml:space="preserve"> presentation and present each activity.</w:t>
      </w:r>
    </w:p>
    <w:p w:rsidR="00C87905" w:rsidRDefault="00C87905" w:rsidP="00C87905">
      <w:r>
        <w:t>When needed (and depending on the available time), you may:</w:t>
      </w:r>
    </w:p>
    <w:p w:rsidR="00C87905" w:rsidRDefault="00C87905" w:rsidP="00C87905">
      <w:pPr>
        <w:pStyle w:val="ListParagraph"/>
        <w:numPr>
          <w:ilvl w:val="0"/>
          <w:numId w:val="5"/>
        </w:numPr>
      </w:pPr>
      <w:r>
        <w:t>Execute the shortcut on some or all of the model then show the newly created report</w:t>
      </w:r>
    </w:p>
    <w:p w:rsidR="00C87905" w:rsidRDefault="00C87905" w:rsidP="00C87905">
      <w:pPr>
        <w:pStyle w:val="ListParagraph"/>
        <w:numPr>
          <w:ilvl w:val="0"/>
          <w:numId w:val="5"/>
        </w:numPr>
      </w:pPr>
      <w:r>
        <w:t>Show the pre-canned reports (if you don’t have time to produce the report now or it you think it is unn</w:t>
      </w:r>
      <w:r w:rsidR="000F2413">
        <w:t>ecessary because of the natur</w:t>
      </w:r>
      <w:r w:rsidR="00147F33">
        <w:t>e</w:t>
      </w:r>
      <w:r>
        <w:t xml:space="preserve"> your audience).</w:t>
      </w:r>
    </w:p>
    <w:p w:rsidR="003465CF" w:rsidRDefault="003465CF" w:rsidP="003465CF"/>
    <w:p w:rsidR="00C87905" w:rsidRPr="003465CF" w:rsidRDefault="00C87905" w:rsidP="00C87905">
      <w:pPr>
        <w:pStyle w:val="Heading3"/>
      </w:pPr>
      <w:r>
        <w:t>Tip and Tricks</w:t>
      </w:r>
      <w:r w:rsidR="00967C79">
        <w:t xml:space="preserve"> / What may interest your audience</w:t>
      </w:r>
      <w:r>
        <w:t>:</w:t>
      </w:r>
    </w:p>
    <w:p w:rsidR="00967C79" w:rsidRDefault="00967C79" w:rsidP="00967C79">
      <w:pPr>
        <w:pStyle w:val="Heading4"/>
      </w:pPr>
      <w:r>
        <w:t>WebView</w:t>
      </w:r>
    </w:p>
    <w:p w:rsidR="00967C79" w:rsidRDefault="00967C79" w:rsidP="00967C79">
      <w:r>
        <w:t>Many customers are not aware of t</w:t>
      </w:r>
      <w:r w:rsidR="00147F33">
        <w:t>he existence of the WebV</w:t>
      </w:r>
      <w:r w:rsidR="00CC0ABF">
        <w:t>iew. It allows browsing in the model with a simple (</w:t>
      </w:r>
      <w:r w:rsidR="000A1EE6">
        <w:t>SVG</w:t>
      </w:r>
      <w:r w:rsidR="00CC0ABF">
        <w:t xml:space="preserve">-enabled) web browser. Producing a </w:t>
      </w:r>
      <w:r w:rsidR="000A1EE6">
        <w:t>WebView</w:t>
      </w:r>
      <w:r w:rsidR="00CC0ABF">
        <w:t xml:space="preserve"> allows auditors to review the model even if they don’t have a Matlab/Simulink installation.</w:t>
      </w:r>
    </w:p>
    <w:p w:rsidR="00CC0ABF" w:rsidRPr="00967C79" w:rsidRDefault="00CC0ABF" w:rsidP="00967C79">
      <w:r>
        <w:sym w:font="Wingdings" w:char="F04D"/>
      </w:r>
      <w:r>
        <w:t xml:space="preserve"> Make sure you have an SVG enabled browser (I use </w:t>
      </w:r>
      <w:r w:rsidR="00147F33">
        <w:t>Firefox</w:t>
      </w:r>
      <w:r>
        <w:t xml:space="preserve">, the </w:t>
      </w:r>
      <w:r w:rsidR="00147F33">
        <w:t>SVG</w:t>
      </w:r>
      <w:r>
        <w:t xml:space="preserve"> plugin for Explorer </w:t>
      </w:r>
      <w:r w:rsidR="00155C29">
        <w:t>works too</w:t>
      </w:r>
      <w:r>
        <w:t>).</w:t>
      </w:r>
    </w:p>
    <w:p w:rsidR="00967C79" w:rsidRDefault="00967C79" w:rsidP="00967C79">
      <w:pPr>
        <w:pStyle w:val="Heading4"/>
      </w:pPr>
      <w:r>
        <w:t>Traceability reports</w:t>
      </w:r>
    </w:p>
    <w:p w:rsidR="00967C79" w:rsidRDefault="00CC0ABF" w:rsidP="00967C79">
      <w:r>
        <w:t xml:space="preserve">Some </w:t>
      </w:r>
      <w:r w:rsidR="00603754">
        <w:t>customers don’t</w:t>
      </w:r>
      <w:r>
        <w:t xml:space="preserve"> know about the requirements linking, the possible highlighting and reporting. It is useful to demonstrate that the tool can be used to produce a 100% bi-directional report between the high-level requirement and the design.</w:t>
      </w:r>
    </w:p>
    <w:p w:rsidR="00CC0ABF" w:rsidRDefault="00CC0ABF" w:rsidP="00967C79">
      <w:r>
        <w:t>You may also explain and show that requirements are added in the source code.</w:t>
      </w:r>
    </w:p>
    <w:p w:rsidR="00BA2D66" w:rsidRPr="00967C79" w:rsidRDefault="00BA2D66" w:rsidP="00967C79">
      <w:r>
        <w:t xml:space="preserve">You may demonstrate how Model Advisor can be used to checks whether the text for a requirement is still matching with the model (and therefore detect necessary rework / </w:t>
      </w:r>
      <w:proofErr w:type="spellStart"/>
      <w:r>
        <w:t>rereview</w:t>
      </w:r>
      <w:proofErr w:type="spellEnd"/>
      <w:r>
        <w:t>).</w:t>
      </w:r>
    </w:p>
    <w:p w:rsidR="00C87905" w:rsidRDefault="00967C79" w:rsidP="00967C79">
      <w:pPr>
        <w:pStyle w:val="Heading4"/>
      </w:pPr>
      <w:r>
        <w:t>Code Inspector</w:t>
      </w:r>
    </w:p>
    <w:p w:rsidR="00967C79" w:rsidRDefault="00967C79" w:rsidP="00967C79">
      <w:r>
        <w:t>The code inspector is a relatively new product and it is quite easy to show how powerful it is by manually introduced various type</w:t>
      </w:r>
      <w:r w:rsidR="000A1EE6">
        <w:t>s</w:t>
      </w:r>
      <w:r>
        <w:t xml:space="preserve"> of errors.</w:t>
      </w:r>
    </w:p>
    <w:p w:rsidR="00CC0ABF" w:rsidRDefault="00CC0ABF" w:rsidP="00CC0ABF">
      <w:pPr>
        <w:pStyle w:val="Heading4"/>
      </w:pPr>
      <w:r>
        <w:t>Coverage</w:t>
      </w:r>
    </w:p>
    <w:p w:rsidR="00CC0ABF" w:rsidRPr="00CC0ABF" w:rsidRDefault="00817B0F" w:rsidP="00CC0ABF">
      <w:r>
        <w:t xml:space="preserve">To run the </w:t>
      </w:r>
      <w:proofErr w:type="spellStart"/>
      <w:r>
        <w:t>sX_runEquivalenceTests</w:t>
      </w:r>
      <w:proofErr w:type="spellEnd"/>
      <w:r>
        <w:t xml:space="preserve"> </w:t>
      </w:r>
      <w:r w:rsidR="000A1EE6">
        <w:t>script</w:t>
      </w:r>
      <w:r w:rsidR="00603754">
        <w:t>, we</w:t>
      </w:r>
      <w:r w:rsidR="000A1EE6">
        <w:t xml:space="preserve"> have created with sldv a </w:t>
      </w:r>
      <w:r w:rsidR="007361A8">
        <w:t xml:space="preserve">uses BullsEyesCoverage. It is useful to show the coverage on the model (all blocks involving conditions are highlighted with the colour showing our much the conditions </w:t>
      </w:r>
      <w:r w:rsidR="00603754">
        <w:t>were</w:t>
      </w:r>
      <w:r w:rsidR="007361A8">
        <w:t xml:space="preserve"> exercised).</w:t>
      </w:r>
    </w:p>
    <w:p w:rsidR="00CC0ABF" w:rsidRDefault="007361A8" w:rsidP="00CC0ABF">
      <w:r>
        <w:sym w:font="Wingdings" w:char="F04D"/>
      </w:r>
      <w:r>
        <w:t xml:space="preserve"> You may not be able to show the coverage if you don’t have a licensed copy of BullsEye on your machine.</w:t>
      </w:r>
    </w:p>
    <w:p w:rsidR="007361A8" w:rsidRDefault="007361A8" w:rsidP="007361A8">
      <w:r>
        <w:sym w:font="Wingdings" w:char="F04D"/>
      </w:r>
      <w:r>
        <w:t xml:space="preserve"> Even though the workshop uses Bullseye, don’t forget to mention our other partner LDRA.</w:t>
      </w:r>
    </w:p>
    <w:p w:rsidR="007361A8" w:rsidRPr="00CC0ABF" w:rsidRDefault="007361A8" w:rsidP="00CC0ABF"/>
    <w:p w:rsidR="00C87905" w:rsidRDefault="00C87905">
      <w:pPr>
        <w:rPr>
          <w:rFonts w:asciiTheme="majorHAnsi" w:eastAsiaTheme="majorEastAsia" w:hAnsiTheme="majorHAnsi" w:cstheme="majorBidi"/>
          <w:b/>
          <w:bCs/>
          <w:color w:val="4F81BD" w:themeColor="accent1"/>
          <w:sz w:val="26"/>
          <w:szCs w:val="26"/>
        </w:rPr>
      </w:pPr>
      <w:r>
        <w:br w:type="page"/>
      </w:r>
    </w:p>
    <w:p w:rsidR="00D74447" w:rsidRDefault="0091185E" w:rsidP="0091185E">
      <w:pPr>
        <w:pStyle w:val="Heading2"/>
      </w:pPr>
      <w:r>
        <w:lastRenderedPageBreak/>
        <w:t>Folder layout</w:t>
      </w:r>
    </w:p>
    <w:tbl>
      <w:tblPr>
        <w:tblStyle w:val="TableGrid"/>
        <w:tblW w:w="8931" w:type="dxa"/>
        <w:tblInd w:w="108" w:type="dxa"/>
        <w:tblLayout w:type="fixed"/>
        <w:tblLook w:val="04A0" w:firstRow="1" w:lastRow="0" w:firstColumn="1" w:lastColumn="0" w:noHBand="0" w:noVBand="1"/>
      </w:tblPr>
      <w:tblGrid>
        <w:gridCol w:w="3686"/>
        <w:gridCol w:w="5245"/>
      </w:tblGrid>
      <w:tr w:rsidR="00251F3A" w:rsidRPr="00432D38" w:rsidTr="00942FA0">
        <w:tc>
          <w:tcPr>
            <w:tcW w:w="3686" w:type="dxa"/>
          </w:tcPr>
          <w:p w:rsidR="00251F3A" w:rsidRPr="00432D38" w:rsidRDefault="00251F3A">
            <w:pPr>
              <w:rPr>
                <w:b/>
                <w:sz w:val="20"/>
              </w:rPr>
            </w:pPr>
            <w:r w:rsidRPr="00432D38">
              <w:rPr>
                <w:b/>
                <w:sz w:val="20"/>
              </w:rPr>
              <w:t>Folder</w:t>
            </w:r>
          </w:p>
        </w:tc>
        <w:tc>
          <w:tcPr>
            <w:tcW w:w="5245" w:type="dxa"/>
          </w:tcPr>
          <w:p w:rsidR="00251F3A" w:rsidRPr="00432D38" w:rsidRDefault="00251F3A">
            <w:pPr>
              <w:rPr>
                <w:b/>
                <w:sz w:val="20"/>
              </w:rPr>
            </w:pPr>
            <w:r w:rsidRPr="00432D38">
              <w:rPr>
                <w:b/>
                <w:sz w:val="20"/>
              </w:rPr>
              <w:t>What’s in it</w:t>
            </w:r>
          </w:p>
        </w:tc>
      </w:tr>
      <w:tr w:rsidR="00251F3A" w:rsidRPr="0066574A" w:rsidTr="00942FA0">
        <w:tc>
          <w:tcPr>
            <w:tcW w:w="3686" w:type="dxa"/>
          </w:tcPr>
          <w:p w:rsidR="00251F3A" w:rsidRPr="009F5828" w:rsidRDefault="00817B0F">
            <w:pPr>
              <w:rPr>
                <w:rFonts w:ascii="Courier New" w:hAnsi="Courier New" w:cs="Courier New"/>
                <w:spacing w:val="-10"/>
                <w:sz w:val="16"/>
              </w:rPr>
            </w:pPr>
            <w:r>
              <w:rPr>
                <w:rFonts w:ascii="Courier New" w:hAnsi="Courier New" w:cs="Courier New"/>
                <w:spacing w:val="-10"/>
                <w:sz w:val="16"/>
              </w:rPr>
              <w:t>Common</w:t>
            </w:r>
          </w:p>
        </w:tc>
        <w:tc>
          <w:tcPr>
            <w:tcW w:w="5245" w:type="dxa"/>
          </w:tcPr>
          <w:p w:rsidR="00251F3A" w:rsidRPr="0066574A" w:rsidRDefault="00251F3A" w:rsidP="00FE0F7E">
            <w:pPr>
              <w:rPr>
                <w:sz w:val="20"/>
              </w:rPr>
            </w:pPr>
            <w:r w:rsidRPr="0066574A">
              <w:rPr>
                <w:sz w:val="20"/>
              </w:rPr>
              <w:t>All common</w:t>
            </w:r>
            <w:r w:rsidR="002D414A">
              <w:rPr>
                <w:rStyle w:val="FootnoteReference"/>
                <w:sz w:val="20"/>
              </w:rPr>
              <w:footnoteReference w:id="1"/>
            </w:r>
            <w:r w:rsidRPr="0066574A">
              <w:rPr>
                <w:sz w:val="20"/>
              </w:rPr>
              <w:t>* scripts, scripts that may be run during a customer demo.</w:t>
            </w:r>
          </w:p>
        </w:tc>
      </w:tr>
      <w:tr w:rsidR="00251F3A" w:rsidRPr="0066574A" w:rsidTr="00942FA0">
        <w:tc>
          <w:tcPr>
            <w:tcW w:w="3686" w:type="dxa"/>
          </w:tcPr>
          <w:p w:rsidR="00251F3A" w:rsidRPr="009F5828" w:rsidRDefault="00817B0F">
            <w:pPr>
              <w:rPr>
                <w:rFonts w:ascii="Courier New" w:hAnsi="Courier New" w:cs="Courier New"/>
                <w:spacing w:val="-10"/>
                <w:sz w:val="16"/>
              </w:rPr>
            </w:pPr>
            <w:r>
              <w:rPr>
                <w:rFonts w:ascii="Courier New" w:hAnsi="Courier New" w:cs="Courier New"/>
                <w:spacing w:val="-10"/>
                <w:sz w:val="16"/>
              </w:rPr>
              <w:t>Common</w:t>
            </w:r>
            <w:r w:rsidR="00251F3A" w:rsidRPr="009F5828">
              <w:rPr>
                <w:rFonts w:ascii="Courier New" w:hAnsi="Courier New" w:cs="Courier New"/>
                <w:spacing w:val="-10"/>
                <w:sz w:val="16"/>
              </w:rPr>
              <w:t>/private</w:t>
            </w:r>
          </w:p>
        </w:tc>
        <w:tc>
          <w:tcPr>
            <w:tcW w:w="5245" w:type="dxa"/>
          </w:tcPr>
          <w:p w:rsidR="00251F3A" w:rsidRPr="0066574A" w:rsidRDefault="00251F3A">
            <w:pPr>
              <w:rPr>
                <w:sz w:val="20"/>
              </w:rPr>
            </w:pPr>
            <w:r w:rsidRPr="0066574A">
              <w:rPr>
                <w:sz w:val="20"/>
              </w:rPr>
              <w:t>All private scripts used by the above.</w:t>
            </w:r>
          </w:p>
        </w:tc>
      </w:tr>
      <w:tr w:rsidR="00251F3A" w:rsidRPr="0066574A" w:rsidTr="00942FA0">
        <w:tc>
          <w:tcPr>
            <w:tcW w:w="3686" w:type="dxa"/>
          </w:tcPr>
          <w:p w:rsidR="00251F3A" w:rsidRPr="009F5828" w:rsidRDefault="00817B0F">
            <w:pPr>
              <w:rPr>
                <w:rFonts w:ascii="Courier New" w:hAnsi="Courier New" w:cs="Courier New"/>
                <w:spacing w:val="-10"/>
                <w:sz w:val="16"/>
              </w:rPr>
            </w:pPr>
            <w:r>
              <w:rPr>
                <w:rFonts w:ascii="Courier New" w:hAnsi="Courier New" w:cs="Courier New"/>
                <w:spacing w:val="-10"/>
                <w:sz w:val="16"/>
              </w:rPr>
              <w:t>Common</w:t>
            </w:r>
            <w:r w:rsidR="00251F3A" w:rsidRPr="009F5828">
              <w:rPr>
                <w:rFonts w:ascii="Courier New" w:hAnsi="Courier New" w:cs="Courier New"/>
                <w:spacing w:val="-10"/>
                <w:sz w:val="16"/>
              </w:rPr>
              <w:t>/</w:t>
            </w:r>
            <w:proofErr w:type="spellStart"/>
            <w:r w:rsidR="00251F3A" w:rsidRPr="009F5828">
              <w:rPr>
                <w:rFonts w:ascii="Courier New" w:hAnsi="Courier New" w:cs="Courier New"/>
                <w:spacing w:val="-10"/>
                <w:sz w:val="16"/>
              </w:rPr>
              <w:t>ReportTemplates</w:t>
            </w:r>
            <w:proofErr w:type="spellEnd"/>
          </w:p>
        </w:tc>
        <w:tc>
          <w:tcPr>
            <w:tcW w:w="5245" w:type="dxa"/>
          </w:tcPr>
          <w:p w:rsidR="00946D80" w:rsidRDefault="00251F3A" w:rsidP="0066574A">
            <w:pPr>
              <w:rPr>
                <w:sz w:val="20"/>
              </w:rPr>
            </w:pPr>
            <w:r w:rsidRPr="0066574A">
              <w:rPr>
                <w:sz w:val="20"/>
              </w:rPr>
              <w:t>Report Generator templates for the S</w:t>
            </w:r>
            <w:r w:rsidR="00946D80">
              <w:rPr>
                <w:sz w:val="20"/>
              </w:rPr>
              <w:t>DD, MRD.</w:t>
            </w:r>
          </w:p>
          <w:p w:rsidR="00946D80" w:rsidRDefault="00946D80" w:rsidP="0066574A">
            <w:pPr>
              <w:rPr>
                <w:sz w:val="20"/>
              </w:rPr>
            </w:pPr>
            <w:r>
              <w:rPr>
                <w:sz w:val="20"/>
              </w:rPr>
              <w:t>Requirements.</w:t>
            </w:r>
          </w:p>
          <w:p w:rsidR="00251F3A" w:rsidRPr="0066574A" w:rsidRDefault="00251F3A" w:rsidP="0066574A">
            <w:pPr>
              <w:rPr>
                <w:sz w:val="20"/>
              </w:rPr>
            </w:pPr>
            <w:r>
              <w:rPr>
                <w:sz w:val="20"/>
              </w:rPr>
              <w:t>Equivalen</w:t>
            </w:r>
            <w:r w:rsidRPr="0066574A">
              <w:rPr>
                <w:sz w:val="20"/>
              </w:rPr>
              <w:t>ce test reports.</w:t>
            </w:r>
          </w:p>
        </w:tc>
      </w:tr>
      <w:tr w:rsidR="00E0315E" w:rsidRPr="0066574A" w:rsidTr="00942FA0">
        <w:tc>
          <w:tcPr>
            <w:tcW w:w="3686" w:type="dxa"/>
          </w:tcPr>
          <w:p w:rsidR="00E0315E" w:rsidRDefault="00E0315E">
            <w:pPr>
              <w:rPr>
                <w:rFonts w:ascii="Courier New" w:hAnsi="Courier New" w:cs="Courier New"/>
                <w:spacing w:val="-10"/>
                <w:sz w:val="16"/>
              </w:rPr>
            </w:pPr>
            <w:proofErr w:type="spellStart"/>
            <w:r>
              <w:rPr>
                <w:rFonts w:ascii="Courier New" w:hAnsi="Courier New" w:cs="Courier New"/>
                <w:spacing w:val="-10"/>
                <w:sz w:val="16"/>
              </w:rPr>
              <w:t>Certif</w:t>
            </w:r>
            <w:proofErr w:type="spellEnd"/>
            <w:r>
              <w:rPr>
                <w:rFonts w:ascii="Courier New" w:hAnsi="Courier New" w:cs="Courier New"/>
                <w:spacing w:val="-10"/>
                <w:sz w:val="16"/>
              </w:rPr>
              <w:t>/&lt;standard&gt;/&lt;Name&gt;_&lt;standard&gt;.</w:t>
            </w:r>
            <w:proofErr w:type="spellStart"/>
            <w:r>
              <w:rPr>
                <w:rFonts w:ascii="Courier New" w:hAnsi="Courier New" w:cs="Courier New"/>
                <w:spacing w:val="-10"/>
                <w:sz w:val="16"/>
              </w:rPr>
              <w:t>prj</w:t>
            </w:r>
            <w:proofErr w:type="spellEnd"/>
          </w:p>
        </w:tc>
        <w:tc>
          <w:tcPr>
            <w:tcW w:w="5245" w:type="dxa"/>
          </w:tcPr>
          <w:p w:rsidR="00E0315E" w:rsidRPr="0066574A" w:rsidRDefault="00E0315E" w:rsidP="0066574A">
            <w:pPr>
              <w:rPr>
                <w:sz w:val="20"/>
              </w:rPr>
            </w:pPr>
            <w:r>
              <w:rPr>
                <w:sz w:val="20"/>
              </w:rPr>
              <w:t>Project file to start up the workshop for &lt;standard&gt;</w:t>
            </w:r>
          </w:p>
        </w:tc>
      </w:tr>
      <w:tr w:rsidR="00E0315E" w:rsidRPr="0066574A" w:rsidTr="00942FA0">
        <w:tc>
          <w:tcPr>
            <w:tcW w:w="3686" w:type="dxa"/>
          </w:tcPr>
          <w:p w:rsidR="00E0315E" w:rsidRDefault="00E0315E">
            <w:pPr>
              <w:rPr>
                <w:rFonts w:ascii="Courier New" w:hAnsi="Courier New" w:cs="Courier New"/>
                <w:spacing w:val="-10"/>
                <w:sz w:val="16"/>
              </w:rPr>
            </w:pPr>
            <w:proofErr w:type="spellStart"/>
            <w:r>
              <w:rPr>
                <w:rFonts w:ascii="Courier New" w:hAnsi="Courier New" w:cs="Courier New"/>
                <w:spacing w:val="-10"/>
                <w:sz w:val="16"/>
              </w:rPr>
              <w:t>Certif</w:t>
            </w:r>
            <w:proofErr w:type="spellEnd"/>
            <w:r>
              <w:rPr>
                <w:rFonts w:ascii="Courier New" w:hAnsi="Courier New" w:cs="Courier New"/>
                <w:spacing w:val="-10"/>
                <w:sz w:val="16"/>
              </w:rPr>
              <w:t>/&lt;standard&gt;/</w:t>
            </w:r>
            <w:proofErr w:type="spellStart"/>
            <w:r>
              <w:rPr>
                <w:rFonts w:ascii="Courier New" w:hAnsi="Courier New" w:cs="Courier New"/>
                <w:spacing w:val="-10"/>
                <w:sz w:val="16"/>
              </w:rPr>
              <w:t>ProjectManagement</w:t>
            </w:r>
            <w:proofErr w:type="spellEnd"/>
            <w:r>
              <w:rPr>
                <w:rFonts w:ascii="Courier New" w:hAnsi="Courier New" w:cs="Courier New"/>
                <w:spacing w:val="-10"/>
                <w:sz w:val="16"/>
              </w:rPr>
              <w:t xml:space="preserve"> </w:t>
            </w:r>
          </w:p>
        </w:tc>
        <w:tc>
          <w:tcPr>
            <w:tcW w:w="5245" w:type="dxa"/>
          </w:tcPr>
          <w:p w:rsidR="00E0315E" w:rsidRDefault="00E0315E" w:rsidP="0066574A">
            <w:pPr>
              <w:rPr>
                <w:sz w:val="20"/>
              </w:rPr>
            </w:pPr>
            <w:r>
              <w:rPr>
                <w:sz w:val="20"/>
              </w:rPr>
              <w:t xml:space="preserve">Project files to use for </w:t>
            </w:r>
            <w:proofErr w:type="spellStart"/>
            <w:r>
              <w:rPr>
                <w:sz w:val="20"/>
              </w:rPr>
              <w:t>startup</w:t>
            </w:r>
            <w:proofErr w:type="spellEnd"/>
            <w:r>
              <w:rPr>
                <w:sz w:val="20"/>
              </w:rPr>
              <w:t xml:space="preserve"> and shutdown, keeps the folders to be added to path, data to be loaded </w:t>
            </w:r>
            <w:proofErr w:type="spellStart"/>
            <w:r>
              <w:rPr>
                <w:sz w:val="20"/>
              </w:rPr>
              <w:t>etc</w:t>
            </w:r>
            <w:proofErr w:type="spellEnd"/>
          </w:p>
        </w:tc>
      </w:tr>
      <w:tr w:rsidR="00251F3A" w:rsidRPr="0066574A" w:rsidTr="00942FA0">
        <w:tc>
          <w:tcPr>
            <w:tcW w:w="3686" w:type="dxa"/>
          </w:tcPr>
          <w:p w:rsidR="00251F3A" w:rsidRPr="009F5828" w:rsidRDefault="00251F3A">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/&lt;standard&gt;/Artefacts</w:t>
            </w:r>
          </w:p>
        </w:tc>
        <w:tc>
          <w:tcPr>
            <w:tcW w:w="5245" w:type="dxa"/>
          </w:tcPr>
          <w:p w:rsidR="00251F3A" w:rsidRPr="0066574A" w:rsidRDefault="00251F3A" w:rsidP="00946D80">
            <w:pPr>
              <w:rPr>
                <w:sz w:val="20"/>
              </w:rPr>
            </w:pPr>
            <w:r w:rsidRPr="0066574A">
              <w:rPr>
                <w:sz w:val="20"/>
              </w:rPr>
              <w:t>A few director</w:t>
            </w:r>
            <w:r>
              <w:rPr>
                <w:sz w:val="20"/>
              </w:rPr>
              <w:t>ies</w:t>
            </w:r>
            <w:r w:rsidRPr="0066574A">
              <w:rPr>
                <w:sz w:val="20"/>
              </w:rPr>
              <w:t xml:space="preserve"> where the artefacts are added when scripts</w:t>
            </w:r>
            <w:r w:rsidR="00946D80">
              <w:rPr>
                <w:sz w:val="20"/>
              </w:rPr>
              <w:t xml:space="preserve"> are </w:t>
            </w:r>
            <w:r w:rsidR="00946D80" w:rsidRPr="0066574A">
              <w:rPr>
                <w:sz w:val="20"/>
              </w:rPr>
              <w:t>execute</w:t>
            </w:r>
            <w:r w:rsidR="00946D80">
              <w:rPr>
                <w:sz w:val="20"/>
              </w:rPr>
              <w:t>d</w:t>
            </w:r>
            <w:r w:rsidRPr="0066574A">
              <w:rPr>
                <w:sz w:val="20"/>
              </w:rPr>
              <w:t>.</w:t>
            </w:r>
          </w:p>
        </w:tc>
      </w:tr>
      <w:tr w:rsidR="00251F3A" w:rsidRPr="0066574A" w:rsidTr="00942FA0">
        <w:tc>
          <w:tcPr>
            <w:tcW w:w="3686" w:type="dxa"/>
          </w:tcPr>
          <w:p w:rsidR="00251F3A" w:rsidRPr="009F5828" w:rsidRDefault="00251F3A" w:rsidP="00AC1713">
            <w:pPr>
              <w:rPr>
                <w:rFonts w:ascii="Courier New" w:hAnsi="Courier New" w:cs="Courier New"/>
                <w:spacing w:val="-10"/>
                <w:sz w:val="16"/>
              </w:rPr>
            </w:pPr>
            <w:r w:rsidRPr="009F5828">
              <w:rPr>
                <w:rFonts w:ascii="Courier New" w:hAnsi="Courier New" w:cs="Courier New"/>
                <w:spacing w:val="-10"/>
                <w:sz w:val="16"/>
              </w:rPr>
              <w:t>Certif/&lt;standard&gt;/MAConfig</w:t>
            </w:r>
          </w:p>
        </w:tc>
        <w:tc>
          <w:tcPr>
            <w:tcW w:w="5245" w:type="dxa"/>
          </w:tcPr>
          <w:p w:rsidR="00251F3A" w:rsidRPr="0066574A" w:rsidRDefault="00251F3A" w:rsidP="00513E5A">
            <w:pPr>
              <w:rPr>
                <w:sz w:val="20"/>
              </w:rPr>
            </w:pPr>
            <w:r w:rsidRPr="0066574A">
              <w:rPr>
                <w:sz w:val="20"/>
              </w:rPr>
              <w:t>ModelAdvisor configuration files, conventionally suffixed with the Matlab version to make it possibly to run on any version.</w:t>
            </w:r>
          </w:p>
        </w:tc>
      </w:tr>
      <w:tr w:rsidR="00251F3A" w:rsidRPr="0066574A" w:rsidTr="00942FA0">
        <w:tc>
          <w:tcPr>
            <w:tcW w:w="3686" w:type="dxa"/>
          </w:tcPr>
          <w:p w:rsidR="00251F3A" w:rsidRPr="009F5828" w:rsidRDefault="00251F3A" w:rsidP="00AC1713">
            <w:pPr>
              <w:rPr>
                <w:rFonts w:ascii="Courier New" w:hAnsi="Courier New" w:cs="Courier New"/>
                <w:spacing w:val="-10"/>
                <w:sz w:val="16"/>
              </w:rPr>
            </w:pPr>
            <w:r w:rsidRPr="009F5828">
              <w:rPr>
                <w:rFonts w:ascii="Courier New" w:hAnsi="Courier New" w:cs="Courier New"/>
                <w:spacing w:val="-10"/>
                <w:sz w:val="16"/>
              </w:rPr>
              <w:t>Certif/&lt;standard&gt;/Model</w:t>
            </w:r>
          </w:p>
        </w:tc>
        <w:tc>
          <w:tcPr>
            <w:tcW w:w="5245" w:type="dxa"/>
          </w:tcPr>
          <w:p w:rsidR="00251F3A" w:rsidRDefault="00467F29" w:rsidP="00467F29">
            <w:pPr>
              <w:rPr>
                <w:sz w:val="20"/>
              </w:rPr>
            </w:pPr>
            <w:r>
              <w:rPr>
                <w:sz w:val="20"/>
              </w:rPr>
              <w:t>M</w:t>
            </w:r>
            <w:r w:rsidR="00251F3A" w:rsidRPr="0066574A">
              <w:rPr>
                <w:sz w:val="20"/>
              </w:rPr>
              <w:t>odel</w:t>
            </w:r>
            <w:r>
              <w:rPr>
                <w:sz w:val="20"/>
              </w:rPr>
              <w:t xml:space="preserve">s </w:t>
            </w:r>
            <w:r w:rsidR="00251F3A" w:rsidRPr="0066574A">
              <w:rPr>
                <w:sz w:val="20"/>
              </w:rPr>
              <w:t>used to present a given standard</w:t>
            </w:r>
            <w:r>
              <w:rPr>
                <w:sz w:val="20"/>
              </w:rPr>
              <w:t>.</w:t>
            </w:r>
          </w:p>
          <w:p w:rsidR="00467F29" w:rsidRPr="009F5828" w:rsidRDefault="00467F29" w:rsidP="00467F29">
            <w:pPr>
              <w:rPr>
                <w:sz w:val="20"/>
                <w:u w:val="single"/>
              </w:rPr>
            </w:pPr>
            <w:r w:rsidRPr="009F5828">
              <w:rPr>
                <w:sz w:val="20"/>
                <w:u w:val="single"/>
              </w:rPr>
              <w:t>Design models</w:t>
            </w:r>
          </w:p>
          <w:p w:rsidR="00467F29" w:rsidRDefault="00467F29" w:rsidP="00467F29">
            <w:pPr>
              <w:rPr>
                <w:sz w:val="20"/>
              </w:rPr>
            </w:pPr>
            <w:r>
              <w:rPr>
                <w:sz w:val="20"/>
              </w:rPr>
              <w:t>Contain the actual design that will be in the controller’s software. (</w:t>
            </w:r>
            <w:r w:rsidR="009F5828">
              <w:rPr>
                <w:sz w:val="20"/>
              </w:rPr>
              <w:t xml:space="preserve">Must have a </w:t>
            </w:r>
            <w:r>
              <w:rPr>
                <w:sz w:val="20"/>
              </w:rPr>
              <w:t xml:space="preserve">Top level and </w:t>
            </w:r>
            <w:r w:rsidR="009F5828">
              <w:rPr>
                <w:sz w:val="20"/>
              </w:rPr>
              <w:t xml:space="preserve">may have a few </w:t>
            </w:r>
            <w:r>
              <w:rPr>
                <w:sz w:val="20"/>
              </w:rPr>
              <w:t>referenced models</w:t>
            </w:r>
            <w:r w:rsidR="009F5828">
              <w:rPr>
                <w:sz w:val="20"/>
              </w:rPr>
              <w:t xml:space="preserve"> or libraries</w:t>
            </w:r>
            <w:r>
              <w:rPr>
                <w:sz w:val="20"/>
              </w:rPr>
              <w:t>)</w:t>
            </w:r>
          </w:p>
          <w:p w:rsidR="00467F29" w:rsidRPr="009F5828" w:rsidRDefault="00467F29" w:rsidP="00467F29">
            <w:pPr>
              <w:rPr>
                <w:sz w:val="20"/>
                <w:u w:val="single"/>
              </w:rPr>
            </w:pPr>
            <w:r w:rsidRPr="009F5828">
              <w:rPr>
                <w:sz w:val="20"/>
                <w:u w:val="single"/>
              </w:rPr>
              <w:t>Plant Models</w:t>
            </w:r>
          </w:p>
          <w:p w:rsidR="00467F29" w:rsidRDefault="009F5828" w:rsidP="00467F29">
            <w:pPr>
              <w:rPr>
                <w:sz w:val="20"/>
              </w:rPr>
            </w:pPr>
            <w:r>
              <w:rPr>
                <w:sz w:val="20"/>
              </w:rPr>
              <w:t>Used to simulate the design in a plant</w:t>
            </w:r>
          </w:p>
          <w:p w:rsidR="00467F29" w:rsidRDefault="00467F29" w:rsidP="00467F29">
            <w:pPr>
              <w:rPr>
                <w:sz w:val="20"/>
                <w:u w:val="single"/>
              </w:rPr>
            </w:pPr>
            <w:r w:rsidRPr="009F5828">
              <w:rPr>
                <w:sz w:val="20"/>
                <w:u w:val="single"/>
              </w:rPr>
              <w:t>Validation Models</w:t>
            </w:r>
          </w:p>
          <w:p w:rsidR="009F5828" w:rsidRPr="009F5828" w:rsidRDefault="009F5828" w:rsidP="00467F29">
            <w:pPr>
              <w:rPr>
                <w:sz w:val="20"/>
              </w:rPr>
            </w:pPr>
            <w:r>
              <w:rPr>
                <w:sz w:val="20"/>
              </w:rPr>
              <w:t>Used to test the model in simulation. We have created harness models with SLDV.</w:t>
            </w:r>
          </w:p>
          <w:p w:rsidR="00467F29" w:rsidRPr="009F5828" w:rsidRDefault="009F5828" w:rsidP="00467F29">
            <w:pPr>
              <w:rPr>
                <w:sz w:val="20"/>
                <w:u w:val="single"/>
              </w:rPr>
            </w:pPr>
            <w:r w:rsidRPr="009F5828">
              <w:rPr>
                <w:sz w:val="20"/>
                <w:u w:val="single"/>
              </w:rPr>
              <w:t>EquivalenceTesting</w:t>
            </w:r>
            <w:r w:rsidR="00467F29" w:rsidRPr="009F5828">
              <w:rPr>
                <w:sz w:val="20"/>
                <w:u w:val="single"/>
              </w:rPr>
              <w:t>Models</w:t>
            </w:r>
          </w:p>
          <w:p w:rsidR="00467F29" w:rsidRDefault="009F5828" w:rsidP="009F5828">
            <w:pPr>
              <w:rPr>
                <w:sz w:val="20"/>
              </w:rPr>
            </w:pPr>
            <w:r>
              <w:rPr>
                <w:sz w:val="20"/>
              </w:rPr>
              <w:t xml:space="preserve">Typically the same model as the validation model. It is used to </w:t>
            </w:r>
          </w:p>
          <w:p w:rsidR="009F5828" w:rsidRPr="009F5828" w:rsidRDefault="009F5828" w:rsidP="009F5828">
            <w:pPr>
              <w:rPr>
                <w:sz w:val="20"/>
                <w:u w:val="single"/>
              </w:rPr>
            </w:pPr>
            <w:r w:rsidRPr="009F5828">
              <w:rPr>
                <w:sz w:val="20"/>
                <w:u w:val="single"/>
              </w:rPr>
              <w:t xml:space="preserve">Supporting scripts </w:t>
            </w:r>
          </w:p>
          <w:p w:rsidR="009F5828" w:rsidRDefault="009F5828" w:rsidP="009F5828">
            <w:pPr>
              <w:rPr>
                <w:sz w:val="20"/>
              </w:rPr>
            </w:pPr>
            <w:r>
              <w:rPr>
                <w:sz w:val="20"/>
              </w:rPr>
              <w:t>Any script need to set-up the workspace, callbacks,….</w:t>
            </w:r>
          </w:p>
          <w:p w:rsidR="00EE5DE7" w:rsidRPr="0066574A" w:rsidRDefault="00967C79" w:rsidP="00967C79">
            <w:pPr>
              <w:rPr>
                <w:sz w:val="20"/>
              </w:rPr>
            </w:pPr>
            <w:r>
              <w:rPr>
                <w:sz w:val="20"/>
              </w:rPr>
              <w:t>It m</w:t>
            </w:r>
            <w:r w:rsidR="00EE5DE7">
              <w:rPr>
                <w:sz w:val="20"/>
              </w:rPr>
              <w:t>ay have subdirectories if needed.</w:t>
            </w:r>
          </w:p>
        </w:tc>
      </w:tr>
      <w:tr w:rsidR="00251F3A" w:rsidRPr="0066574A" w:rsidTr="00942FA0">
        <w:tc>
          <w:tcPr>
            <w:tcW w:w="3686" w:type="dxa"/>
          </w:tcPr>
          <w:p w:rsidR="00251F3A" w:rsidRPr="009F5828" w:rsidRDefault="00251F3A" w:rsidP="00967C79">
            <w:pPr>
              <w:rPr>
                <w:rFonts w:ascii="Courier New" w:hAnsi="Courier New" w:cs="Courier New"/>
                <w:spacing w:val="-10"/>
                <w:sz w:val="16"/>
              </w:rPr>
            </w:pPr>
            <w:r w:rsidRPr="009F5828">
              <w:rPr>
                <w:rFonts w:ascii="Courier New" w:hAnsi="Courier New" w:cs="Courier New"/>
                <w:spacing w:val="-10"/>
                <w:sz w:val="16"/>
              </w:rPr>
              <w:t>Certif/&lt;standard&gt;/Model</w:t>
            </w:r>
            <w:r w:rsidR="00C138B7">
              <w:rPr>
                <w:rFonts w:ascii="Courier New" w:hAnsi="Courier New" w:cs="Courier New"/>
                <w:spacing w:val="-10"/>
                <w:sz w:val="16"/>
              </w:rPr>
              <w:t>/</w:t>
            </w:r>
            <w:r w:rsidR="00967C79">
              <w:rPr>
                <w:rFonts w:ascii="Courier New" w:hAnsi="Courier New" w:cs="Courier New"/>
                <w:spacing w:val="-10"/>
                <w:sz w:val="16"/>
              </w:rPr>
              <w:t>Scripts</w:t>
            </w:r>
          </w:p>
        </w:tc>
        <w:tc>
          <w:tcPr>
            <w:tcW w:w="5245" w:type="dxa"/>
          </w:tcPr>
          <w:p w:rsidR="00251F3A" w:rsidRPr="0066574A" w:rsidRDefault="00967C79">
            <w:pPr>
              <w:rPr>
                <w:sz w:val="20"/>
              </w:rPr>
            </w:pPr>
            <w:r>
              <w:rPr>
                <w:sz w:val="20"/>
              </w:rPr>
              <w:t xml:space="preserve">Scripts required for this model (e.g. Bus and Enum definitions, Workspace </w:t>
            </w:r>
            <w:r w:rsidR="00603754">
              <w:rPr>
                <w:sz w:val="20"/>
              </w:rPr>
              <w:t>initialisation,</w:t>
            </w:r>
          </w:p>
        </w:tc>
      </w:tr>
      <w:tr w:rsidR="006D2738" w:rsidRPr="0066574A" w:rsidTr="00942FA0">
        <w:tc>
          <w:tcPr>
            <w:tcW w:w="3686" w:type="dxa"/>
          </w:tcPr>
          <w:p w:rsidR="006D2738" w:rsidRPr="009F5828" w:rsidRDefault="006D2738" w:rsidP="003D110E">
            <w:pPr>
              <w:rPr>
                <w:rFonts w:ascii="Courier New" w:hAnsi="Courier New" w:cs="Courier New"/>
                <w:spacing w:val="-10"/>
                <w:sz w:val="16"/>
              </w:rPr>
            </w:pPr>
            <w:r w:rsidRPr="009F5828">
              <w:rPr>
                <w:rFonts w:ascii="Courier New" w:hAnsi="Courier New" w:cs="Courier New"/>
                <w:spacing w:val="-10"/>
                <w:sz w:val="16"/>
              </w:rPr>
              <w:t>Certif/&lt;standard&gt;/Model</w:t>
            </w:r>
            <w:r>
              <w:rPr>
                <w:rFonts w:ascii="Courier New" w:hAnsi="Courier New" w:cs="Courier New"/>
                <w:spacing w:val="-10"/>
                <w:sz w:val="16"/>
              </w:rPr>
              <w:t>/</w:t>
            </w:r>
            <w:r w:rsidRPr="009F5828">
              <w:rPr>
                <w:rFonts w:ascii="Courier New" w:hAnsi="Courier New" w:cs="Courier New"/>
                <w:spacing w:val="-10"/>
                <w:sz w:val="16"/>
              </w:rPr>
              <w:t>Tests</w:t>
            </w:r>
          </w:p>
        </w:tc>
        <w:tc>
          <w:tcPr>
            <w:tcW w:w="5245" w:type="dxa"/>
          </w:tcPr>
          <w:p w:rsidR="006D2738" w:rsidRPr="0066574A" w:rsidRDefault="00967C79" w:rsidP="003D110E">
            <w:pPr>
              <w:rPr>
                <w:sz w:val="20"/>
              </w:rPr>
            </w:pPr>
            <w:r>
              <w:rPr>
                <w:sz w:val="20"/>
              </w:rPr>
              <w:t>Test models for the design components.</w:t>
            </w:r>
          </w:p>
        </w:tc>
      </w:tr>
      <w:tr w:rsidR="00817B0F" w:rsidTr="00942FA0">
        <w:tc>
          <w:tcPr>
            <w:tcW w:w="3686" w:type="dxa"/>
          </w:tcPr>
          <w:p w:rsidR="00817B0F" w:rsidRPr="009F5828" w:rsidRDefault="00817B0F" w:rsidP="00C43153">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/&lt;standard&gt;/Model</w:t>
            </w:r>
            <w:r>
              <w:rPr>
                <w:rFonts w:ascii="Courier New" w:hAnsi="Courier New" w:cs="Courier New"/>
                <w:spacing w:val="-10"/>
                <w:sz w:val="16"/>
              </w:rPr>
              <w:t>/C_&lt;composition&gt;/</w:t>
            </w:r>
          </w:p>
        </w:tc>
        <w:tc>
          <w:tcPr>
            <w:tcW w:w="5245" w:type="dxa"/>
          </w:tcPr>
          <w:p w:rsidR="00817B0F" w:rsidRDefault="00817B0F" w:rsidP="00C43153">
            <w:pPr>
              <w:rPr>
                <w:sz w:val="20"/>
              </w:rPr>
            </w:pPr>
            <w:r>
              <w:rPr>
                <w:sz w:val="20"/>
              </w:rPr>
              <w:t>Composition level (assembly of models that constitute a larger piece of functionality in the system)</w:t>
            </w:r>
          </w:p>
        </w:tc>
      </w:tr>
      <w:tr w:rsidR="00817B0F" w:rsidTr="00942FA0">
        <w:tc>
          <w:tcPr>
            <w:tcW w:w="3686" w:type="dxa"/>
          </w:tcPr>
          <w:p w:rsidR="00817B0F" w:rsidRPr="009F5828" w:rsidRDefault="00817B0F" w:rsidP="00C43153">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/&lt;standard&gt;/Model</w:t>
            </w:r>
            <w:r>
              <w:rPr>
                <w:rFonts w:ascii="Courier New" w:hAnsi="Courier New" w:cs="Courier New"/>
                <w:spacing w:val="-10"/>
                <w:sz w:val="16"/>
              </w:rPr>
              <w:t>/C_&lt;composition&gt;/I_&lt;model&gt;</w:t>
            </w:r>
          </w:p>
        </w:tc>
        <w:tc>
          <w:tcPr>
            <w:tcW w:w="5245" w:type="dxa"/>
          </w:tcPr>
          <w:p w:rsidR="00817B0F" w:rsidRDefault="00817B0F" w:rsidP="00C43153">
            <w:pPr>
              <w:rPr>
                <w:sz w:val="20"/>
              </w:rPr>
            </w:pPr>
            <w:r>
              <w:rPr>
                <w:sz w:val="20"/>
              </w:rPr>
              <w:t>Integration level model containing the architecture of the functions (below)</w:t>
            </w:r>
          </w:p>
        </w:tc>
      </w:tr>
      <w:tr w:rsidR="00817B0F" w:rsidTr="00942FA0">
        <w:tc>
          <w:tcPr>
            <w:tcW w:w="3686" w:type="dxa"/>
          </w:tcPr>
          <w:p w:rsidR="00817B0F" w:rsidRPr="009F5828" w:rsidRDefault="00817B0F" w:rsidP="00C43153">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/&lt;standard&gt;/Model</w:t>
            </w:r>
            <w:r>
              <w:rPr>
                <w:rFonts w:ascii="Courier New" w:hAnsi="Courier New" w:cs="Courier New"/>
                <w:spacing w:val="-10"/>
                <w:sz w:val="16"/>
              </w:rPr>
              <w:t>/C_&lt;composition&gt;/I_&lt;model&gt;/Tests</w:t>
            </w:r>
          </w:p>
        </w:tc>
        <w:tc>
          <w:tcPr>
            <w:tcW w:w="5245" w:type="dxa"/>
          </w:tcPr>
          <w:p w:rsidR="00817B0F" w:rsidRDefault="00817B0F" w:rsidP="00817B0F">
            <w:pPr>
              <w:rPr>
                <w:sz w:val="20"/>
              </w:rPr>
            </w:pPr>
            <w:r>
              <w:rPr>
                <w:sz w:val="20"/>
              </w:rPr>
              <w:t xml:space="preserve">Tests for the integration level model </w:t>
            </w:r>
          </w:p>
        </w:tc>
      </w:tr>
      <w:tr w:rsidR="00817B0F" w:rsidTr="00942FA0">
        <w:tc>
          <w:tcPr>
            <w:tcW w:w="3686" w:type="dxa"/>
          </w:tcPr>
          <w:p w:rsidR="00817B0F" w:rsidRPr="009F5828" w:rsidRDefault="00817B0F" w:rsidP="00C43153">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/&lt;standard&gt;/Model</w:t>
            </w:r>
            <w:r>
              <w:rPr>
                <w:rFonts w:ascii="Courier New" w:hAnsi="Courier New" w:cs="Courier New"/>
                <w:spacing w:val="-10"/>
                <w:sz w:val="16"/>
              </w:rPr>
              <w:t>/C_&lt;composition&gt;/F_&lt;function&gt;</w:t>
            </w:r>
          </w:p>
        </w:tc>
        <w:tc>
          <w:tcPr>
            <w:tcW w:w="5245" w:type="dxa"/>
          </w:tcPr>
          <w:p w:rsidR="00817B0F" w:rsidRDefault="00817B0F" w:rsidP="00C43153">
            <w:pPr>
              <w:rPr>
                <w:sz w:val="20"/>
              </w:rPr>
            </w:pPr>
            <w:r>
              <w:rPr>
                <w:sz w:val="20"/>
              </w:rPr>
              <w:t xml:space="preserve">Function (or module/unit…) level, part of the composition and integration </w:t>
            </w:r>
          </w:p>
        </w:tc>
      </w:tr>
      <w:tr w:rsidR="00817B0F" w:rsidRPr="0066574A" w:rsidTr="00942FA0">
        <w:tc>
          <w:tcPr>
            <w:tcW w:w="3686" w:type="dxa"/>
          </w:tcPr>
          <w:p w:rsidR="00817B0F" w:rsidRPr="009F5828" w:rsidRDefault="00817B0F" w:rsidP="00817B0F">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/&lt;standard&gt;/Model</w:t>
            </w:r>
            <w:r>
              <w:rPr>
                <w:rFonts w:ascii="Courier New" w:hAnsi="Courier New" w:cs="Courier New"/>
                <w:spacing w:val="-10"/>
                <w:sz w:val="16"/>
              </w:rPr>
              <w:t>/C_&lt;composition&gt;/F_&lt;function&gt;/Tests</w:t>
            </w:r>
          </w:p>
        </w:tc>
        <w:tc>
          <w:tcPr>
            <w:tcW w:w="5245" w:type="dxa"/>
          </w:tcPr>
          <w:p w:rsidR="00817B0F" w:rsidRDefault="00817B0F" w:rsidP="00817B0F">
            <w:pPr>
              <w:rPr>
                <w:sz w:val="20"/>
              </w:rPr>
            </w:pPr>
            <w:r>
              <w:rPr>
                <w:sz w:val="20"/>
              </w:rPr>
              <w:t xml:space="preserve">Tests for the function. Contains </w:t>
            </w:r>
            <w:proofErr w:type="spellStart"/>
            <w:r>
              <w:rPr>
                <w:sz w:val="20"/>
              </w:rPr>
              <w:t>validationModels</w:t>
            </w:r>
            <w:proofErr w:type="spellEnd"/>
            <w:r>
              <w:rPr>
                <w:sz w:val="20"/>
              </w:rPr>
              <w:t xml:space="preserve"> and equivalence test models. These both implement test against requirements</w:t>
            </w:r>
          </w:p>
        </w:tc>
      </w:tr>
      <w:tr w:rsidR="00817B0F" w:rsidRPr="0066574A" w:rsidTr="00942FA0">
        <w:tc>
          <w:tcPr>
            <w:tcW w:w="3686" w:type="dxa"/>
          </w:tcPr>
          <w:p w:rsidR="00817B0F" w:rsidRPr="009F5828" w:rsidRDefault="00817B0F" w:rsidP="00AC1713">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/&lt;standard&gt;/Requirements</w:t>
            </w:r>
          </w:p>
        </w:tc>
        <w:tc>
          <w:tcPr>
            <w:tcW w:w="5245" w:type="dxa"/>
          </w:tcPr>
          <w:p w:rsidR="00817B0F" w:rsidRPr="0066574A" w:rsidRDefault="00817B0F">
            <w:pPr>
              <w:rPr>
                <w:sz w:val="20"/>
              </w:rPr>
            </w:pPr>
            <w:r w:rsidRPr="0066574A">
              <w:rPr>
                <w:sz w:val="20"/>
              </w:rPr>
              <w:t>The High Level requirements for your design</w:t>
            </w:r>
          </w:p>
        </w:tc>
      </w:tr>
      <w:tr w:rsidR="00817B0F" w:rsidRPr="0066574A" w:rsidTr="00942FA0">
        <w:tc>
          <w:tcPr>
            <w:tcW w:w="3686" w:type="dxa"/>
          </w:tcPr>
          <w:p w:rsidR="00817B0F" w:rsidRPr="009F5828" w:rsidRDefault="00817B0F" w:rsidP="00AC1713">
            <w:pPr>
              <w:rPr>
                <w:rFonts w:ascii="Courier New" w:hAnsi="Courier New" w:cs="Courier New"/>
                <w:spacing w:val="-10"/>
                <w:sz w:val="16"/>
              </w:rPr>
            </w:pPr>
            <w:proofErr w:type="spellStart"/>
            <w:r>
              <w:rPr>
                <w:rFonts w:ascii="Courier New" w:hAnsi="Courier New" w:cs="Courier New"/>
                <w:spacing w:val="-10"/>
                <w:sz w:val="16"/>
              </w:rPr>
              <w:t>Certif</w:t>
            </w:r>
            <w:proofErr w:type="spellEnd"/>
            <w:r>
              <w:rPr>
                <w:rFonts w:ascii="Courier New" w:hAnsi="Courier New" w:cs="Courier New"/>
                <w:spacing w:val="-10"/>
                <w:sz w:val="16"/>
              </w:rPr>
              <w:t>/&lt;standard&gt;/Utilities</w:t>
            </w:r>
          </w:p>
        </w:tc>
        <w:tc>
          <w:tcPr>
            <w:tcW w:w="5245" w:type="dxa"/>
          </w:tcPr>
          <w:p w:rsidR="00817B0F" w:rsidRPr="0066574A" w:rsidRDefault="00817B0F" w:rsidP="006D2738">
            <w:pPr>
              <w:rPr>
                <w:sz w:val="20"/>
              </w:rPr>
            </w:pPr>
            <w:r>
              <w:rPr>
                <w:sz w:val="20"/>
              </w:rPr>
              <w:t>Shortcuts that link back to the common shortcuts in Common/</w:t>
            </w:r>
          </w:p>
        </w:tc>
      </w:tr>
      <w:tr w:rsidR="00817B0F" w:rsidRPr="0066574A" w:rsidTr="00942FA0">
        <w:tc>
          <w:tcPr>
            <w:tcW w:w="3686" w:type="dxa"/>
          </w:tcPr>
          <w:p w:rsidR="00817B0F" w:rsidRPr="009F5828" w:rsidRDefault="00817B0F" w:rsidP="00AC1713">
            <w:pPr>
              <w:rPr>
                <w:rFonts w:ascii="Courier New" w:hAnsi="Courier New" w:cs="Courier New"/>
                <w:spacing w:val="-10"/>
                <w:sz w:val="16"/>
              </w:rPr>
            </w:pPr>
            <w:r w:rsidRPr="009F5828">
              <w:rPr>
                <w:rFonts w:ascii="Courier New" w:hAnsi="Courier New" w:cs="Courier New"/>
                <w:spacing w:val="-10"/>
                <w:sz w:val="16"/>
              </w:rPr>
              <w:t>Certif/&lt;standard&gt;/Presentation</w:t>
            </w:r>
          </w:p>
        </w:tc>
        <w:tc>
          <w:tcPr>
            <w:tcW w:w="5245" w:type="dxa"/>
          </w:tcPr>
          <w:p w:rsidR="00817B0F" w:rsidRPr="0066574A" w:rsidRDefault="00817B0F">
            <w:pPr>
              <w:rPr>
                <w:sz w:val="20"/>
              </w:rPr>
            </w:pPr>
            <w:r>
              <w:rPr>
                <w:sz w:val="20"/>
              </w:rPr>
              <w:t>PowerPoint presentation(s) for that standard.</w:t>
            </w:r>
          </w:p>
        </w:tc>
      </w:tr>
      <w:tr w:rsidR="00817B0F" w:rsidRPr="0066574A" w:rsidTr="00942FA0">
        <w:tc>
          <w:tcPr>
            <w:tcW w:w="3686" w:type="dxa"/>
          </w:tcPr>
          <w:p w:rsidR="00817B0F" w:rsidRPr="009F5828" w:rsidRDefault="00817B0F" w:rsidP="00AC1713">
            <w:pPr>
              <w:rPr>
                <w:rFonts w:ascii="Courier New" w:hAnsi="Courier New" w:cs="Courier New"/>
                <w:spacing w:val="-10"/>
                <w:sz w:val="16"/>
              </w:rPr>
            </w:pPr>
            <w:proofErr w:type="spellStart"/>
            <w:r>
              <w:rPr>
                <w:rFonts w:ascii="Courier New" w:hAnsi="Courier New" w:cs="Courier New"/>
                <w:spacing w:val="-10"/>
                <w:sz w:val="16"/>
              </w:rPr>
              <w:t>Certif</w:t>
            </w:r>
            <w:proofErr w:type="spellEnd"/>
            <w:r>
              <w:rPr>
                <w:rFonts w:ascii="Courier New" w:hAnsi="Courier New" w:cs="Courier New"/>
                <w:spacing w:val="-10"/>
                <w:sz w:val="16"/>
              </w:rPr>
              <w:t>/w</w:t>
            </w:r>
            <w:r w:rsidRPr="009F5828">
              <w:rPr>
                <w:rFonts w:ascii="Courier New" w:hAnsi="Courier New" w:cs="Courier New"/>
                <w:spacing w:val="-10"/>
                <w:sz w:val="16"/>
              </w:rPr>
              <w:t>ork</w:t>
            </w:r>
          </w:p>
        </w:tc>
        <w:tc>
          <w:tcPr>
            <w:tcW w:w="5245" w:type="dxa"/>
          </w:tcPr>
          <w:p w:rsidR="00817B0F" w:rsidRPr="0066574A" w:rsidRDefault="00817B0F" w:rsidP="00967C79">
            <w:pPr>
              <w:rPr>
                <w:sz w:val="20"/>
              </w:rPr>
            </w:pPr>
            <w:r>
              <w:rPr>
                <w:sz w:val="20"/>
              </w:rPr>
              <w:t>Location where the slprj, xxx_ert_rtw folders are redirected.</w:t>
            </w:r>
          </w:p>
        </w:tc>
      </w:tr>
      <w:tr w:rsidR="00817B0F" w:rsidRPr="0066574A" w:rsidTr="00942FA0">
        <w:tc>
          <w:tcPr>
            <w:tcW w:w="3686" w:type="dxa"/>
          </w:tcPr>
          <w:p w:rsidR="00817B0F" w:rsidRPr="009F5828" w:rsidRDefault="00817B0F" w:rsidP="00AC1713">
            <w:pPr>
              <w:rPr>
                <w:rFonts w:ascii="Courier New" w:hAnsi="Courier New" w:cs="Courier New"/>
                <w:spacing w:val="-10"/>
                <w:sz w:val="16"/>
              </w:rPr>
            </w:pPr>
            <w:r w:rsidRPr="009F5828">
              <w:rPr>
                <w:rFonts w:ascii="Courier New" w:hAnsi="Courier New" w:cs="Courier New"/>
                <w:spacing w:val="-10"/>
                <w:sz w:val="16"/>
              </w:rPr>
              <w:t>Devel</w:t>
            </w:r>
          </w:p>
        </w:tc>
        <w:tc>
          <w:tcPr>
            <w:tcW w:w="5245" w:type="dxa"/>
          </w:tcPr>
          <w:p w:rsidR="00817B0F" w:rsidRPr="0066574A" w:rsidRDefault="00817B0F" w:rsidP="00817B0F">
            <w:pPr>
              <w:rPr>
                <w:sz w:val="20"/>
              </w:rPr>
            </w:pPr>
            <w:r>
              <w:rPr>
                <w:sz w:val="20"/>
              </w:rPr>
              <w:t>Scripts used to prepare a local repository for standards (ready to demonstrate away from the MathWorks network).</w:t>
            </w:r>
          </w:p>
        </w:tc>
      </w:tr>
    </w:tbl>
    <w:p w:rsidR="00D74447" w:rsidRDefault="00D74447"/>
    <w:p w:rsidR="00E0315E" w:rsidRDefault="00E0315E" w:rsidP="00E0315E">
      <w:pPr>
        <w:pStyle w:val="Heading2"/>
      </w:pPr>
      <w:r>
        <w:lastRenderedPageBreak/>
        <w:t xml:space="preserve">Categories and labels identifying files </w:t>
      </w:r>
    </w:p>
    <w:p w:rsidR="007D6D1C" w:rsidRDefault="007D6D1C" w:rsidP="007D6D1C">
      <w:pPr>
        <w:pStyle w:val="Heading4"/>
      </w:pPr>
      <w:r>
        <w:t xml:space="preserve">Impact of the “Type” Category </w:t>
      </w:r>
    </w:p>
    <w:p w:rsidR="007D6D1C" w:rsidRPr="007D6D1C" w:rsidRDefault="007D6D1C" w:rsidP="007D6D1C">
      <w:r>
        <w:t xml:space="preserve">This is to be applied to design and verification elements to be able to filter them </w:t>
      </w:r>
    </w:p>
    <w:tbl>
      <w:tblPr>
        <w:tblStyle w:val="TableGrid"/>
        <w:tblW w:w="0" w:type="auto"/>
        <w:tblLook w:val="04A0" w:firstRow="1" w:lastRow="0" w:firstColumn="1" w:lastColumn="0" w:noHBand="0" w:noVBand="1"/>
      </w:tblPr>
      <w:tblGrid>
        <w:gridCol w:w="2660"/>
        <w:gridCol w:w="2374"/>
        <w:gridCol w:w="4208"/>
      </w:tblGrid>
      <w:tr w:rsidR="00E0315E" w:rsidRPr="00612B0A" w:rsidTr="007D6D1C">
        <w:tc>
          <w:tcPr>
            <w:tcW w:w="2660" w:type="dxa"/>
          </w:tcPr>
          <w:p w:rsidR="00E0315E" w:rsidRPr="00612B0A" w:rsidRDefault="00E0315E" w:rsidP="00E0315E">
            <w:pPr>
              <w:rPr>
                <w:b/>
              </w:rPr>
            </w:pPr>
            <w:r w:rsidRPr="00612B0A">
              <w:rPr>
                <w:b/>
              </w:rPr>
              <w:t>“Type” Category Label</w:t>
            </w:r>
          </w:p>
        </w:tc>
        <w:tc>
          <w:tcPr>
            <w:tcW w:w="2374" w:type="dxa"/>
          </w:tcPr>
          <w:p w:rsidR="00E0315E" w:rsidRPr="00612B0A" w:rsidRDefault="00E0315E" w:rsidP="00E0315E">
            <w:pPr>
              <w:rPr>
                <w:b/>
              </w:rPr>
            </w:pPr>
            <w:r w:rsidRPr="00612B0A">
              <w:rPr>
                <w:b/>
              </w:rPr>
              <w:t>Rational</w:t>
            </w:r>
          </w:p>
        </w:tc>
        <w:tc>
          <w:tcPr>
            <w:tcW w:w="4208" w:type="dxa"/>
          </w:tcPr>
          <w:p w:rsidR="00E0315E" w:rsidRPr="00612B0A" w:rsidRDefault="00E0315E" w:rsidP="00E0315E">
            <w:pPr>
              <w:rPr>
                <w:b/>
              </w:rPr>
            </w:pPr>
            <w:r w:rsidRPr="00612B0A">
              <w:rPr>
                <w:b/>
              </w:rPr>
              <w:t xml:space="preserve">Impact </w:t>
            </w:r>
          </w:p>
        </w:tc>
      </w:tr>
      <w:tr w:rsidR="00E0315E" w:rsidTr="007D6D1C">
        <w:tc>
          <w:tcPr>
            <w:tcW w:w="2660" w:type="dxa"/>
          </w:tcPr>
          <w:p w:rsidR="00E0315E" w:rsidRDefault="00E0315E" w:rsidP="00E0315E">
            <w:proofErr w:type="spellStart"/>
            <w:r>
              <w:t>DesignModel</w:t>
            </w:r>
            <w:proofErr w:type="spellEnd"/>
          </w:p>
        </w:tc>
        <w:tc>
          <w:tcPr>
            <w:tcW w:w="2374" w:type="dxa"/>
          </w:tcPr>
          <w:p w:rsidR="00E0315E" w:rsidRDefault="00E0315E" w:rsidP="00E0315E">
            <w:r>
              <w:t>These are the design elements  i.e. the “functions”</w:t>
            </w:r>
          </w:p>
        </w:tc>
        <w:tc>
          <w:tcPr>
            <w:tcW w:w="4208" w:type="dxa"/>
          </w:tcPr>
          <w:p w:rsidR="00E0315E" w:rsidRDefault="00E0315E" w:rsidP="00E0315E"/>
        </w:tc>
      </w:tr>
      <w:tr w:rsidR="00E0315E" w:rsidTr="007D6D1C">
        <w:tc>
          <w:tcPr>
            <w:tcW w:w="2660" w:type="dxa"/>
          </w:tcPr>
          <w:p w:rsidR="00E0315E" w:rsidRDefault="00E0315E" w:rsidP="00E0315E">
            <w:proofErr w:type="spellStart"/>
            <w:r>
              <w:t>EquivalenceTestingModel</w:t>
            </w:r>
            <w:proofErr w:type="spellEnd"/>
          </w:p>
        </w:tc>
        <w:tc>
          <w:tcPr>
            <w:tcW w:w="2374" w:type="dxa"/>
          </w:tcPr>
          <w:p w:rsidR="00E0315E" w:rsidRDefault="00E0315E" w:rsidP="00E0315E">
            <w:r>
              <w:t xml:space="preserve">These are used to do equivalence testing </w:t>
            </w:r>
          </w:p>
        </w:tc>
        <w:tc>
          <w:tcPr>
            <w:tcW w:w="4208" w:type="dxa"/>
          </w:tcPr>
          <w:p w:rsidR="00E0315E" w:rsidRDefault="00E0315E" w:rsidP="00E0315E">
            <w:r>
              <w:t>This label needs to be added to the F_&lt;function&gt;/Tests/&lt;function&gt;_</w:t>
            </w:r>
            <w:proofErr w:type="spellStart"/>
            <w:r>
              <w:t>harness_req</w:t>
            </w:r>
            <w:proofErr w:type="spellEnd"/>
            <w:r>
              <w:t xml:space="preserve"> model to enable it for running </w:t>
            </w:r>
            <w:proofErr w:type="spellStart"/>
            <w:r>
              <w:t>equivalenceTest</w:t>
            </w:r>
            <w:proofErr w:type="spellEnd"/>
            <w:r>
              <w:t xml:space="preserve"> shortcut</w:t>
            </w:r>
          </w:p>
        </w:tc>
      </w:tr>
      <w:tr w:rsidR="00E0315E" w:rsidTr="007D6D1C">
        <w:tc>
          <w:tcPr>
            <w:tcW w:w="2660" w:type="dxa"/>
          </w:tcPr>
          <w:p w:rsidR="00E0315E" w:rsidRDefault="00E0315E" w:rsidP="00E0315E">
            <w:proofErr w:type="spellStart"/>
            <w:r>
              <w:t>PlantModel</w:t>
            </w:r>
            <w:proofErr w:type="spellEnd"/>
          </w:p>
        </w:tc>
        <w:tc>
          <w:tcPr>
            <w:tcW w:w="2374" w:type="dxa"/>
          </w:tcPr>
          <w:p w:rsidR="00E0315E" w:rsidRDefault="00612B0A" w:rsidP="00E0315E">
            <w:r>
              <w:t>Bring together the plant and the design.</w:t>
            </w:r>
          </w:p>
        </w:tc>
        <w:tc>
          <w:tcPr>
            <w:tcW w:w="4208" w:type="dxa"/>
          </w:tcPr>
          <w:p w:rsidR="00E0315E" w:rsidRDefault="00E0315E" w:rsidP="00E0315E"/>
        </w:tc>
      </w:tr>
      <w:tr w:rsidR="00E0315E" w:rsidTr="007D6D1C">
        <w:tc>
          <w:tcPr>
            <w:tcW w:w="2660" w:type="dxa"/>
          </w:tcPr>
          <w:p w:rsidR="00E0315E" w:rsidRDefault="00E0315E" w:rsidP="00E0315E">
            <w:proofErr w:type="spellStart"/>
            <w:r>
              <w:t>TopModel</w:t>
            </w:r>
            <w:proofErr w:type="spellEnd"/>
          </w:p>
        </w:tc>
        <w:tc>
          <w:tcPr>
            <w:tcW w:w="2374" w:type="dxa"/>
          </w:tcPr>
          <w:p w:rsidR="00E0315E" w:rsidRDefault="00E0315E" w:rsidP="00E0315E">
            <w:r>
              <w:t xml:space="preserve">Integration level model, to be generated code from </w:t>
            </w:r>
          </w:p>
        </w:tc>
        <w:tc>
          <w:tcPr>
            <w:tcW w:w="4208" w:type="dxa"/>
          </w:tcPr>
          <w:p w:rsidR="00E0315E" w:rsidRDefault="00E0315E" w:rsidP="00E0315E">
            <w:r>
              <w:t xml:space="preserve">Will be used </w:t>
            </w:r>
            <w:r w:rsidR="00B86116">
              <w:t xml:space="preserve">by the shortcut </w:t>
            </w:r>
            <w:proofErr w:type="spellStart"/>
            <w:r w:rsidR="00B86116">
              <w:t>generateC</w:t>
            </w:r>
            <w:r>
              <w:t>ode</w:t>
            </w:r>
            <w:proofErr w:type="spellEnd"/>
            <w:r>
              <w:t xml:space="preserve"> </w:t>
            </w:r>
          </w:p>
        </w:tc>
      </w:tr>
      <w:tr w:rsidR="00E0315E" w:rsidTr="007D6D1C">
        <w:tc>
          <w:tcPr>
            <w:tcW w:w="2660" w:type="dxa"/>
          </w:tcPr>
          <w:p w:rsidR="00E0315E" w:rsidRDefault="00E0315E" w:rsidP="00E0315E">
            <w:proofErr w:type="spellStart"/>
            <w:r>
              <w:t>ValidationModel</w:t>
            </w:r>
            <w:proofErr w:type="spellEnd"/>
          </w:p>
        </w:tc>
        <w:tc>
          <w:tcPr>
            <w:tcW w:w="2374" w:type="dxa"/>
          </w:tcPr>
          <w:p w:rsidR="00E0315E" w:rsidRDefault="007D6D1C" w:rsidP="00B86116">
            <w:r>
              <w:t xml:space="preserve">Test models for functions </w:t>
            </w:r>
          </w:p>
        </w:tc>
        <w:tc>
          <w:tcPr>
            <w:tcW w:w="4208" w:type="dxa"/>
          </w:tcPr>
          <w:p w:rsidR="00E0315E" w:rsidRDefault="00B86116" w:rsidP="00E0315E">
            <w:r>
              <w:t xml:space="preserve">Will be used by the shortcut </w:t>
            </w:r>
            <w:proofErr w:type="spellStart"/>
            <w:r>
              <w:t>runModelTests</w:t>
            </w:r>
            <w:proofErr w:type="spellEnd"/>
          </w:p>
        </w:tc>
      </w:tr>
    </w:tbl>
    <w:p w:rsidR="00E0315E" w:rsidRDefault="00E0315E" w:rsidP="00E0315E"/>
    <w:p w:rsidR="007D6D1C" w:rsidRDefault="007D6D1C" w:rsidP="007D6D1C">
      <w:pPr>
        <w:pStyle w:val="Heading4"/>
      </w:pPr>
      <w:r>
        <w:t>Impact of the “&lt;standard&gt;” Category</w:t>
      </w:r>
    </w:p>
    <w:p w:rsidR="007D6D1C" w:rsidRPr="007D6D1C" w:rsidRDefault="007D6D1C" w:rsidP="007D6D1C">
      <w:r>
        <w:t xml:space="preserve">This is to be applied to the evidence of running verification steps </w:t>
      </w:r>
    </w:p>
    <w:tbl>
      <w:tblPr>
        <w:tblStyle w:val="TableGrid"/>
        <w:tblW w:w="0" w:type="auto"/>
        <w:tblLook w:val="04A0" w:firstRow="1" w:lastRow="0" w:firstColumn="1" w:lastColumn="0" w:noHBand="0" w:noVBand="1"/>
      </w:tblPr>
      <w:tblGrid>
        <w:gridCol w:w="3055"/>
        <w:gridCol w:w="1873"/>
        <w:gridCol w:w="4238"/>
      </w:tblGrid>
      <w:tr w:rsidR="007D6D1C" w:rsidRPr="00612B0A" w:rsidTr="007D6D1C">
        <w:tc>
          <w:tcPr>
            <w:tcW w:w="3055" w:type="dxa"/>
          </w:tcPr>
          <w:p w:rsidR="007D6D1C" w:rsidRPr="00612B0A" w:rsidRDefault="007D6D1C" w:rsidP="007D6D1C">
            <w:pPr>
              <w:rPr>
                <w:b/>
              </w:rPr>
            </w:pPr>
            <w:r w:rsidRPr="00612B0A">
              <w:rPr>
                <w:b/>
              </w:rPr>
              <w:t>“&lt;standard&gt;” Category Label</w:t>
            </w:r>
          </w:p>
        </w:tc>
        <w:tc>
          <w:tcPr>
            <w:tcW w:w="1873" w:type="dxa"/>
          </w:tcPr>
          <w:p w:rsidR="007D6D1C" w:rsidRPr="00612B0A" w:rsidRDefault="007D6D1C" w:rsidP="00C43153">
            <w:pPr>
              <w:rPr>
                <w:b/>
              </w:rPr>
            </w:pPr>
            <w:r w:rsidRPr="00612B0A">
              <w:rPr>
                <w:b/>
              </w:rPr>
              <w:t>Rational</w:t>
            </w:r>
          </w:p>
        </w:tc>
        <w:tc>
          <w:tcPr>
            <w:tcW w:w="4238" w:type="dxa"/>
          </w:tcPr>
          <w:p w:rsidR="007D6D1C" w:rsidRPr="00612B0A" w:rsidRDefault="007D6D1C" w:rsidP="00C43153">
            <w:pPr>
              <w:rPr>
                <w:b/>
              </w:rPr>
            </w:pPr>
            <w:r w:rsidRPr="00612B0A">
              <w:rPr>
                <w:b/>
              </w:rPr>
              <w:t xml:space="preserve">Impact </w:t>
            </w:r>
          </w:p>
        </w:tc>
      </w:tr>
      <w:tr w:rsidR="007D6D1C" w:rsidTr="007D6D1C">
        <w:tc>
          <w:tcPr>
            <w:tcW w:w="3055" w:type="dxa"/>
          </w:tcPr>
          <w:p w:rsidR="007D6D1C" w:rsidRDefault="007D6D1C" w:rsidP="00C43153">
            <w:r>
              <w:t>Data</w:t>
            </w:r>
          </w:p>
          <w:p w:rsidR="007D6D1C" w:rsidRDefault="007D6D1C" w:rsidP="00C43153"/>
        </w:tc>
        <w:tc>
          <w:tcPr>
            <w:tcW w:w="1873" w:type="dxa"/>
          </w:tcPr>
          <w:p w:rsidR="007D6D1C" w:rsidRDefault="007D6D1C" w:rsidP="00C43153">
            <w:r>
              <w:t>Data Artefacts</w:t>
            </w:r>
          </w:p>
        </w:tc>
        <w:tc>
          <w:tcPr>
            <w:tcW w:w="4238" w:type="dxa"/>
          </w:tcPr>
          <w:p w:rsidR="007D6D1C" w:rsidRDefault="007D6D1C" w:rsidP="00C43153">
            <w:r>
              <w:t xml:space="preserve">Will be applied to the artefacts that constitute data such as coverage data </w:t>
            </w:r>
            <w:proofErr w:type="spellStart"/>
            <w:r>
              <w:t>etc</w:t>
            </w:r>
            <w:proofErr w:type="spellEnd"/>
          </w:p>
        </w:tc>
      </w:tr>
      <w:tr w:rsidR="007D6D1C" w:rsidTr="007D6D1C">
        <w:tc>
          <w:tcPr>
            <w:tcW w:w="3055" w:type="dxa"/>
          </w:tcPr>
          <w:p w:rsidR="007D6D1C" w:rsidRDefault="007D6D1C" w:rsidP="00C43153">
            <w:r>
              <w:t>Report</w:t>
            </w:r>
          </w:p>
        </w:tc>
        <w:tc>
          <w:tcPr>
            <w:tcW w:w="1873" w:type="dxa"/>
          </w:tcPr>
          <w:p w:rsidR="007D6D1C" w:rsidRDefault="007D6D1C" w:rsidP="00C43153">
            <w:r>
              <w:t>Report Artefacts</w:t>
            </w:r>
          </w:p>
        </w:tc>
        <w:tc>
          <w:tcPr>
            <w:tcW w:w="4238" w:type="dxa"/>
          </w:tcPr>
          <w:p w:rsidR="007D6D1C" w:rsidRDefault="007D6D1C" w:rsidP="00C43153">
            <w:r>
              <w:t xml:space="preserve">Will be applied to the artefacts that are reports such as coverage reports </w:t>
            </w:r>
          </w:p>
        </w:tc>
      </w:tr>
    </w:tbl>
    <w:p w:rsidR="007D6D1C" w:rsidRPr="007D6D1C" w:rsidRDefault="007D6D1C" w:rsidP="007D6D1C"/>
    <w:p w:rsidR="00155C29" w:rsidRDefault="00155C29">
      <w:r>
        <w:br w:type="page"/>
      </w:r>
    </w:p>
    <w:p w:rsidR="00E0315E" w:rsidRDefault="00E0315E">
      <w:pPr>
        <w:rPr>
          <w:rFonts w:asciiTheme="majorHAnsi" w:eastAsiaTheme="majorEastAsia" w:hAnsiTheme="majorHAnsi" w:cstheme="majorBidi"/>
          <w:b/>
          <w:bCs/>
          <w:color w:val="4F81BD" w:themeColor="accent1"/>
          <w:sz w:val="26"/>
          <w:szCs w:val="26"/>
        </w:rPr>
      </w:pPr>
    </w:p>
    <w:p w:rsidR="00155C29" w:rsidRPr="00155C29" w:rsidRDefault="00155C29" w:rsidP="00603754">
      <w:pPr>
        <w:pStyle w:val="Heading1"/>
      </w:pPr>
      <w:r w:rsidRPr="00155C29">
        <w:t>How to add support for an additional standard</w:t>
      </w:r>
    </w:p>
    <w:tbl>
      <w:tblPr>
        <w:tblStyle w:val="TableGrid"/>
        <w:tblW w:w="8364" w:type="dxa"/>
        <w:tblInd w:w="108" w:type="dxa"/>
        <w:tblLayout w:type="fixed"/>
        <w:tblLook w:val="04A0" w:firstRow="1" w:lastRow="0" w:firstColumn="1" w:lastColumn="0" w:noHBand="0" w:noVBand="1"/>
      </w:tblPr>
      <w:tblGrid>
        <w:gridCol w:w="3686"/>
        <w:gridCol w:w="4678"/>
      </w:tblGrid>
      <w:tr w:rsidR="00251F3A" w:rsidRPr="00432D38" w:rsidTr="009F5828">
        <w:tc>
          <w:tcPr>
            <w:tcW w:w="3686" w:type="dxa"/>
          </w:tcPr>
          <w:p w:rsidR="00251F3A" w:rsidRPr="00432D38" w:rsidRDefault="00251F3A" w:rsidP="003D110E">
            <w:pPr>
              <w:rPr>
                <w:b/>
                <w:sz w:val="20"/>
              </w:rPr>
            </w:pPr>
            <w:r w:rsidRPr="00432D38">
              <w:rPr>
                <w:b/>
                <w:sz w:val="20"/>
              </w:rPr>
              <w:t>Folder</w:t>
            </w:r>
          </w:p>
        </w:tc>
        <w:tc>
          <w:tcPr>
            <w:tcW w:w="4678" w:type="dxa"/>
          </w:tcPr>
          <w:p w:rsidR="00251F3A" w:rsidRPr="00432D38" w:rsidRDefault="00251F3A" w:rsidP="003D110E">
            <w:pPr>
              <w:rPr>
                <w:b/>
                <w:sz w:val="20"/>
              </w:rPr>
            </w:pPr>
            <w:r w:rsidRPr="00432D38">
              <w:rPr>
                <w:b/>
                <w:sz w:val="20"/>
              </w:rPr>
              <w:t>What you need to do for a new standard</w:t>
            </w:r>
          </w:p>
        </w:tc>
      </w:tr>
      <w:tr w:rsidR="00817B0F" w:rsidRPr="0066574A" w:rsidTr="009F5828">
        <w:tc>
          <w:tcPr>
            <w:tcW w:w="3686" w:type="dxa"/>
          </w:tcPr>
          <w:p w:rsidR="00817B0F" w:rsidRDefault="00817B0F" w:rsidP="003D110E">
            <w:pPr>
              <w:rPr>
                <w:rFonts w:ascii="Courier New" w:hAnsi="Courier New" w:cs="Courier New"/>
                <w:spacing w:val="-10"/>
                <w:sz w:val="16"/>
              </w:rPr>
            </w:pPr>
            <w:proofErr w:type="spellStart"/>
            <w:r>
              <w:rPr>
                <w:rFonts w:ascii="Courier New" w:hAnsi="Courier New" w:cs="Courier New"/>
                <w:spacing w:val="-10"/>
                <w:sz w:val="16"/>
              </w:rPr>
              <w:t>Certif</w:t>
            </w:r>
            <w:proofErr w:type="spellEnd"/>
            <w:r>
              <w:rPr>
                <w:rFonts w:ascii="Courier New" w:hAnsi="Courier New" w:cs="Courier New"/>
                <w:spacing w:val="-10"/>
                <w:sz w:val="16"/>
              </w:rPr>
              <w:t>/&lt;standard&gt;/&lt;</w:t>
            </w:r>
            <w:proofErr w:type="spellStart"/>
            <w:r w:rsidR="00612B0A">
              <w:rPr>
                <w:rFonts w:ascii="Courier New" w:hAnsi="Courier New" w:cs="Courier New"/>
                <w:spacing w:val="-10"/>
                <w:sz w:val="16"/>
              </w:rPr>
              <w:t>Model</w:t>
            </w:r>
            <w:r>
              <w:rPr>
                <w:rFonts w:ascii="Courier New" w:hAnsi="Courier New" w:cs="Courier New"/>
                <w:spacing w:val="-10"/>
                <w:sz w:val="16"/>
              </w:rPr>
              <w:t>Name</w:t>
            </w:r>
            <w:proofErr w:type="spellEnd"/>
            <w:r>
              <w:rPr>
                <w:rFonts w:ascii="Courier New" w:hAnsi="Courier New" w:cs="Courier New"/>
                <w:spacing w:val="-10"/>
                <w:sz w:val="16"/>
              </w:rPr>
              <w:t>&gt;_&lt;standard&gt;.</w:t>
            </w:r>
            <w:proofErr w:type="spellStart"/>
            <w:r>
              <w:rPr>
                <w:rFonts w:ascii="Courier New" w:hAnsi="Courier New" w:cs="Courier New"/>
                <w:spacing w:val="-10"/>
                <w:sz w:val="16"/>
              </w:rPr>
              <w:t>prj</w:t>
            </w:r>
            <w:proofErr w:type="spellEnd"/>
          </w:p>
        </w:tc>
        <w:tc>
          <w:tcPr>
            <w:tcW w:w="4678" w:type="dxa"/>
          </w:tcPr>
          <w:p w:rsidR="00817B0F" w:rsidRDefault="00817B0F" w:rsidP="003D110E">
            <w:pPr>
              <w:rPr>
                <w:sz w:val="20"/>
              </w:rPr>
            </w:pPr>
            <w:r>
              <w:rPr>
                <w:sz w:val="20"/>
              </w:rPr>
              <w:t xml:space="preserve">Project file for the project, add this by creating a new project connect it to SVN, </w:t>
            </w:r>
            <w:proofErr w:type="gramStart"/>
            <w:r>
              <w:rPr>
                <w:sz w:val="20"/>
              </w:rPr>
              <w:t>then</w:t>
            </w:r>
            <w:proofErr w:type="gramEnd"/>
            <w:r>
              <w:rPr>
                <w:sz w:val="20"/>
              </w:rPr>
              <w:t xml:space="preserve"> add the folders below as you go along.</w:t>
            </w:r>
          </w:p>
        </w:tc>
      </w:tr>
      <w:tr w:rsidR="00817B0F" w:rsidRPr="0066574A" w:rsidTr="009F5828">
        <w:tc>
          <w:tcPr>
            <w:tcW w:w="3686" w:type="dxa"/>
          </w:tcPr>
          <w:p w:rsidR="00817B0F" w:rsidRDefault="00817B0F" w:rsidP="003D110E">
            <w:pPr>
              <w:rPr>
                <w:rFonts w:ascii="Courier New" w:hAnsi="Courier New" w:cs="Courier New"/>
                <w:spacing w:val="-10"/>
                <w:sz w:val="16"/>
              </w:rPr>
            </w:pPr>
            <w:proofErr w:type="spellStart"/>
            <w:r>
              <w:rPr>
                <w:rFonts w:ascii="Courier New" w:hAnsi="Courier New" w:cs="Courier New"/>
                <w:spacing w:val="-10"/>
                <w:sz w:val="16"/>
              </w:rPr>
              <w:t>Certif</w:t>
            </w:r>
            <w:proofErr w:type="spellEnd"/>
            <w:r>
              <w:rPr>
                <w:rFonts w:ascii="Courier New" w:hAnsi="Courier New" w:cs="Courier New"/>
                <w:spacing w:val="-10"/>
                <w:sz w:val="16"/>
              </w:rPr>
              <w:t>/&lt;standard&gt;/</w:t>
            </w:r>
            <w:proofErr w:type="spellStart"/>
            <w:r>
              <w:rPr>
                <w:rFonts w:ascii="Courier New" w:hAnsi="Courier New" w:cs="Courier New"/>
                <w:spacing w:val="-10"/>
                <w:sz w:val="16"/>
              </w:rPr>
              <w:t>ProjectManagement</w:t>
            </w:r>
            <w:proofErr w:type="spellEnd"/>
            <w:r>
              <w:rPr>
                <w:rFonts w:ascii="Courier New" w:hAnsi="Courier New" w:cs="Courier New"/>
                <w:spacing w:val="-10"/>
                <w:sz w:val="16"/>
              </w:rPr>
              <w:t>/</w:t>
            </w:r>
          </w:p>
        </w:tc>
        <w:tc>
          <w:tcPr>
            <w:tcW w:w="4678" w:type="dxa"/>
          </w:tcPr>
          <w:p w:rsidR="00817B0F" w:rsidRDefault="00E0315E" w:rsidP="00E0315E">
            <w:pPr>
              <w:rPr>
                <w:sz w:val="20"/>
              </w:rPr>
            </w:pPr>
            <w:r>
              <w:rPr>
                <w:sz w:val="20"/>
              </w:rPr>
              <w:t xml:space="preserve">Keeps the </w:t>
            </w:r>
            <w:proofErr w:type="spellStart"/>
            <w:r>
              <w:rPr>
                <w:sz w:val="20"/>
              </w:rPr>
              <w:t>startup</w:t>
            </w:r>
            <w:proofErr w:type="spellEnd"/>
            <w:r>
              <w:rPr>
                <w:sz w:val="20"/>
              </w:rPr>
              <w:t xml:space="preserve"> and shutdown files that should be used to add paths etc. Copy from another standard. This will also automatically add the necessary “Type” tags for the standard. </w:t>
            </w:r>
          </w:p>
        </w:tc>
      </w:tr>
      <w:tr w:rsidR="00251F3A" w:rsidRPr="0066574A" w:rsidTr="009F5828">
        <w:tc>
          <w:tcPr>
            <w:tcW w:w="3686" w:type="dxa"/>
          </w:tcPr>
          <w:p w:rsidR="00251F3A" w:rsidRPr="009F5828" w:rsidRDefault="00817B0F" w:rsidP="003D110E">
            <w:pPr>
              <w:rPr>
                <w:rFonts w:ascii="Courier New" w:hAnsi="Courier New" w:cs="Courier New"/>
                <w:spacing w:val="-10"/>
                <w:sz w:val="16"/>
              </w:rPr>
            </w:pPr>
            <w:proofErr w:type="spellStart"/>
            <w:r>
              <w:rPr>
                <w:rFonts w:ascii="Courier New" w:hAnsi="Courier New" w:cs="Courier New"/>
                <w:spacing w:val="-10"/>
                <w:sz w:val="16"/>
              </w:rPr>
              <w:t>Certif</w:t>
            </w:r>
            <w:proofErr w:type="spellEnd"/>
            <w:r>
              <w:rPr>
                <w:rFonts w:ascii="Courier New" w:hAnsi="Courier New" w:cs="Courier New"/>
                <w:spacing w:val="-10"/>
                <w:sz w:val="16"/>
              </w:rPr>
              <w:t>/&lt;standard&gt;/</w:t>
            </w:r>
            <w:r w:rsidR="00251F3A" w:rsidRPr="009F5828">
              <w:rPr>
                <w:rFonts w:ascii="Courier New" w:hAnsi="Courier New" w:cs="Courier New"/>
                <w:spacing w:val="-10"/>
                <w:sz w:val="16"/>
              </w:rPr>
              <w:t>Utilities</w:t>
            </w:r>
          </w:p>
        </w:tc>
        <w:tc>
          <w:tcPr>
            <w:tcW w:w="4678" w:type="dxa"/>
          </w:tcPr>
          <w:p w:rsidR="00155C29" w:rsidRDefault="00817B0F" w:rsidP="003D110E">
            <w:pPr>
              <w:rPr>
                <w:sz w:val="20"/>
              </w:rPr>
            </w:pPr>
            <w:r>
              <w:rPr>
                <w:sz w:val="20"/>
              </w:rPr>
              <w:t>A</w:t>
            </w:r>
            <w:r w:rsidR="00155C29" w:rsidRPr="0066574A">
              <w:rPr>
                <w:sz w:val="20"/>
              </w:rPr>
              <w:t xml:space="preserve">dd </w:t>
            </w:r>
            <w:r>
              <w:rPr>
                <w:sz w:val="20"/>
              </w:rPr>
              <w:t xml:space="preserve">the </w:t>
            </w:r>
            <w:r w:rsidR="00155C29" w:rsidRPr="0066574A">
              <w:rPr>
                <w:sz w:val="20"/>
              </w:rPr>
              <w:t>s&lt;n&gt; scripts</w:t>
            </w:r>
            <w:r>
              <w:rPr>
                <w:sz w:val="20"/>
              </w:rPr>
              <w:t xml:space="preserve"> that links back to the shortcuts in the Common folder</w:t>
            </w:r>
            <w:r w:rsidR="00155C29" w:rsidRPr="0066574A">
              <w:rPr>
                <w:sz w:val="20"/>
              </w:rPr>
              <w:t>.</w:t>
            </w:r>
            <w:r>
              <w:rPr>
                <w:sz w:val="20"/>
              </w:rPr>
              <w:t xml:space="preserve"> Add to the shortcuts in the project</w:t>
            </w:r>
          </w:p>
          <w:p w:rsidR="00251F3A" w:rsidRPr="0066574A" w:rsidRDefault="00251F3A" w:rsidP="00817B0F">
            <w:pPr>
              <w:rPr>
                <w:sz w:val="20"/>
              </w:rPr>
            </w:pPr>
          </w:p>
        </w:tc>
      </w:tr>
      <w:tr w:rsidR="00251F3A" w:rsidRPr="0066574A" w:rsidTr="009F5828">
        <w:tc>
          <w:tcPr>
            <w:tcW w:w="3686" w:type="dxa"/>
          </w:tcPr>
          <w:p w:rsidR="00251F3A" w:rsidRPr="009F5828" w:rsidRDefault="00251F3A"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/&lt;standard&gt;/Artefacts</w:t>
            </w:r>
          </w:p>
        </w:tc>
        <w:tc>
          <w:tcPr>
            <w:tcW w:w="4678" w:type="dxa"/>
          </w:tcPr>
          <w:p w:rsidR="00251F3A" w:rsidRDefault="00251F3A" w:rsidP="003D110E">
            <w:pPr>
              <w:rPr>
                <w:sz w:val="20"/>
              </w:rPr>
            </w:pPr>
            <w:r>
              <w:rPr>
                <w:sz w:val="20"/>
              </w:rPr>
              <w:t>Create at least Code, CodeTest, ModelReview and ModelTest.</w:t>
            </w:r>
          </w:p>
          <w:p w:rsidR="00D90BA9" w:rsidRPr="0066574A" w:rsidRDefault="00D90BA9" w:rsidP="00D90BA9">
            <w:pPr>
              <w:rPr>
                <w:sz w:val="20"/>
              </w:rPr>
            </w:pPr>
            <w:r>
              <w:rPr>
                <w:sz w:val="20"/>
              </w:rPr>
              <w:t>If your standard has extra types of artefacts, create the empty directory and c</w:t>
            </w:r>
            <w:r w:rsidR="002D414A">
              <w:rPr>
                <w:sz w:val="20"/>
              </w:rPr>
              <w:t>hoose the correct location for a</w:t>
            </w:r>
            <w:r>
              <w:rPr>
                <w:sz w:val="20"/>
              </w:rPr>
              <w:t>ddWorkProduct in your added s&lt;n&gt;_script.m files.</w:t>
            </w:r>
          </w:p>
        </w:tc>
      </w:tr>
      <w:tr w:rsidR="00251F3A" w:rsidRPr="0066574A" w:rsidTr="009F5828">
        <w:tc>
          <w:tcPr>
            <w:tcW w:w="3686" w:type="dxa"/>
          </w:tcPr>
          <w:p w:rsidR="00251F3A" w:rsidRPr="009F5828" w:rsidRDefault="00251F3A"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w:t>
            </w:r>
            <w:proofErr w:type="spellStart"/>
            <w:r w:rsidRPr="009F5828">
              <w:rPr>
                <w:rFonts w:ascii="Courier New" w:hAnsi="Courier New" w:cs="Courier New"/>
                <w:spacing w:val="-10"/>
                <w:sz w:val="16"/>
              </w:rPr>
              <w:t>MAConfig</w:t>
            </w:r>
            <w:proofErr w:type="spellEnd"/>
          </w:p>
        </w:tc>
        <w:tc>
          <w:tcPr>
            <w:tcW w:w="4678" w:type="dxa"/>
          </w:tcPr>
          <w:p w:rsidR="00251F3A" w:rsidRPr="0066574A" w:rsidRDefault="00251F3A" w:rsidP="00D90BA9">
            <w:pPr>
              <w:rPr>
                <w:sz w:val="20"/>
              </w:rPr>
            </w:pPr>
            <w:r>
              <w:rPr>
                <w:sz w:val="20"/>
              </w:rPr>
              <w:t>Create at least one MA configuration, possibly a full one and a cut-down one (because the full test is likely to take too long to execute in public).</w:t>
            </w:r>
          </w:p>
        </w:tc>
      </w:tr>
      <w:tr w:rsidR="00251F3A" w:rsidRPr="0066574A" w:rsidTr="009F5828">
        <w:tc>
          <w:tcPr>
            <w:tcW w:w="3686" w:type="dxa"/>
          </w:tcPr>
          <w:p w:rsidR="00251F3A" w:rsidRPr="009F5828" w:rsidRDefault="00251F3A"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w:t>
            </w:r>
            <w:commentRangeStart w:id="0"/>
            <w:r w:rsidRPr="009F5828">
              <w:rPr>
                <w:rFonts w:ascii="Courier New" w:hAnsi="Courier New" w:cs="Courier New"/>
                <w:spacing w:val="-10"/>
                <w:sz w:val="16"/>
              </w:rPr>
              <w:t>Model</w:t>
            </w:r>
            <w:commentRangeEnd w:id="0"/>
            <w:r w:rsidRPr="009F5828">
              <w:rPr>
                <w:spacing w:val="-10"/>
              </w:rPr>
              <w:commentReference w:id="0"/>
            </w:r>
          </w:p>
        </w:tc>
        <w:tc>
          <w:tcPr>
            <w:tcW w:w="4678" w:type="dxa"/>
          </w:tcPr>
          <w:p w:rsidR="00251F3A" w:rsidRDefault="00251F3A" w:rsidP="003D110E">
            <w:pPr>
              <w:rPr>
                <w:sz w:val="20"/>
              </w:rPr>
            </w:pPr>
            <w:r w:rsidRPr="0066574A">
              <w:rPr>
                <w:sz w:val="20"/>
              </w:rPr>
              <w:t>Create a model relevant to the industry the standard applies to.</w:t>
            </w:r>
          </w:p>
          <w:p w:rsidR="00251F3A" w:rsidRDefault="00251F3A" w:rsidP="003D110E">
            <w:pPr>
              <w:rPr>
                <w:sz w:val="20"/>
              </w:rPr>
            </w:pPr>
            <w:r>
              <w:rPr>
                <w:sz w:val="20"/>
              </w:rPr>
              <w:t>Add as many sub-directories, .mat, .m as you like.</w:t>
            </w:r>
          </w:p>
          <w:p w:rsidR="007F5DD9" w:rsidRDefault="007F5DD9" w:rsidP="003D110E">
            <w:pPr>
              <w:rPr>
                <w:sz w:val="20"/>
              </w:rPr>
            </w:pPr>
          </w:p>
          <w:p w:rsidR="007F5DD9" w:rsidRDefault="007F5DD9" w:rsidP="007F5DD9">
            <w:pPr>
              <w:rPr>
                <w:sz w:val="20"/>
              </w:rPr>
            </w:pPr>
            <w:r>
              <w:rPr>
                <w:sz w:val="20"/>
              </w:rPr>
              <w:t>Set a ‘Type’ label for the Top level model (the one that is used for code generation.</w:t>
            </w:r>
          </w:p>
          <w:p w:rsidR="007F5DD9" w:rsidRDefault="007F5DD9" w:rsidP="007F5DD9">
            <w:pPr>
              <w:rPr>
                <w:sz w:val="20"/>
              </w:rPr>
            </w:pPr>
          </w:p>
          <w:p w:rsidR="007D6D1C" w:rsidRPr="0066574A" w:rsidRDefault="007D6D1C" w:rsidP="007F5DD9">
            <w:pPr>
              <w:rPr>
                <w:sz w:val="20"/>
              </w:rPr>
            </w:pPr>
            <w:r>
              <w:rPr>
                <w:sz w:val="20"/>
              </w:rPr>
              <w:t xml:space="preserve">Set ‘Type’ labels for test models accordingly </w:t>
            </w:r>
          </w:p>
        </w:tc>
      </w:tr>
      <w:tr w:rsidR="00251F3A" w:rsidRPr="0066574A" w:rsidTr="009F5828">
        <w:tc>
          <w:tcPr>
            <w:tcW w:w="3686" w:type="dxa"/>
          </w:tcPr>
          <w:p w:rsidR="00251F3A" w:rsidRPr="009F5828" w:rsidRDefault="00251F3A"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/&lt;standard&gt;/Requirements</w:t>
            </w:r>
          </w:p>
        </w:tc>
        <w:tc>
          <w:tcPr>
            <w:tcW w:w="4678" w:type="dxa"/>
          </w:tcPr>
          <w:p w:rsidR="00251F3A" w:rsidRPr="0066574A" w:rsidRDefault="00251F3A" w:rsidP="003D110E">
            <w:pPr>
              <w:rPr>
                <w:sz w:val="20"/>
              </w:rPr>
            </w:pPr>
            <w:r>
              <w:rPr>
                <w:sz w:val="20"/>
              </w:rPr>
              <w:t>Your requirements, we suggest that you use word</w:t>
            </w:r>
            <w:r w:rsidR="002D414A">
              <w:rPr>
                <w:sz w:val="20"/>
              </w:rPr>
              <w:t xml:space="preserve"> or Excel as a demo with Doors would be difficult to use outside the MathWorks network.</w:t>
            </w:r>
          </w:p>
        </w:tc>
      </w:tr>
      <w:tr w:rsidR="00251F3A" w:rsidRPr="0066574A" w:rsidTr="009F5828">
        <w:tc>
          <w:tcPr>
            <w:tcW w:w="3686" w:type="dxa"/>
          </w:tcPr>
          <w:p w:rsidR="00251F3A" w:rsidRPr="009F5828" w:rsidRDefault="00251F3A"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/&lt;standard&gt;/Scripts</w:t>
            </w:r>
          </w:p>
        </w:tc>
        <w:tc>
          <w:tcPr>
            <w:tcW w:w="4678" w:type="dxa"/>
          </w:tcPr>
          <w:p w:rsidR="002D414A" w:rsidRDefault="002D414A" w:rsidP="003D110E">
            <w:pPr>
              <w:rPr>
                <w:sz w:val="20"/>
              </w:rPr>
            </w:pPr>
            <w:r>
              <w:rPr>
                <w:sz w:val="20"/>
              </w:rPr>
              <w:t>Create at least</w:t>
            </w:r>
          </w:p>
          <w:p w:rsidR="00251F3A" w:rsidRDefault="00251F3A" w:rsidP="003D110E">
            <w:pPr>
              <w:rPr>
                <w:sz w:val="20"/>
              </w:rPr>
            </w:pPr>
            <w:r>
              <w:rPr>
                <w:sz w:val="20"/>
              </w:rPr>
              <w:t xml:space="preserve"> </w:t>
            </w:r>
            <w:proofErr w:type="spellStart"/>
            <w:r>
              <w:rPr>
                <w:sz w:val="20"/>
              </w:rPr>
              <w:t>getFolders</w:t>
            </w:r>
            <w:r w:rsidR="002D414A">
              <w:rPr>
                <w:sz w:val="20"/>
              </w:rPr>
              <w:t>.m</w:t>
            </w:r>
            <w:proofErr w:type="spellEnd"/>
            <w:r>
              <w:rPr>
                <w:sz w:val="20"/>
              </w:rPr>
              <w:t xml:space="preserve"> (</w:t>
            </w:r>
            <w:r w:rsidR="002D414A">
              <w:rPr>
                <w:sz w:val="20"/>
              </w:rPr>
              <w:t xml:space="preserve">returns </w:t>
            </w:r>
            <w:r>
              <w:rPr>
                <w:sz w:val="20"/>
              </w:rPr>
              <w:t>the list of  folders that needs to be in the path)</w:t>
            </w:r>
          </w:p>
          <w:p w:rsidR="00251F3A" w:rsidRPr="0066574A" w:rsidRDefault="00251F3A" w:rsidP="002D414A">
            <w:pPr>
              <w:rPr>
                <w:sz w:val="20"/>
              </w:rPr>
            </w:pPr>
            <w:proofErr w:type="spellStart"/>
            <w:r>
              <w:rPr>
                <w:sz w:val="20"/>
              </w:rPr>
              <w:t>SetupScript.m</w:t>
            </w:r>
            <w:proofErr w:type="spellEnd"/>
            <w:r w:rsidR="002D414A">
              <w:rPr>
                <w:sz w:val="20"/>
              </w:rPr>
              <w:t xml:space="preserve"> (enables the shortcuts for the </w:t>
            </w:r>
          </w:p>
        </w:tc>
      </w:tr>
      <w:tr w:rsidR="00251F3A" w:rsidRPr="0066574A" w:rsidTr="009F5828">
        <w:tc>
          <w:tcPr>
            <w:tcW w:w="3686" w:type="dxa"/>
          </w:tcPr>
          <w:p w:rsidR="00251F3A" w:rsidRPr="009F5828" w:rsidRDefault="00251F3A"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/&lt;standard&gt;/Presentation</w:t>
            </w:r>
          </w:p>
        </w:tc>
        <w:tc>
          <w:tcPr>
            <w:tcW w:w="4678" w:type="dxa"/>
          </w:tcPr>
          <w:p w:rsidR="00251F3A" w:rsidRPr="0066574A" w:rsidRDefault="002D414A" w:rsidP="002D4D4F">
            <w:pPr>
              <w:rPr>
                <w:sz w:val="20"/>
              </w:rPr>
            </w:pPr>
            <w:r>
              <w:rPr>
                <w:sz w:val="20"/>
              </w:rPr>
              <w:t xml:space="preserve">Add your </w:t>
            </w:r>
            <w:r w:rsidR="00BE42B1">
              <w:rPr>
                <w:sz w:val="20"/>
              </w:rPr>
              <w:t xml:space="preserve">PowerPoint </w:t>
            </w:r>
            <w:r>
              <w:rPr>
                <w:sz w:val="20"/>
              </w:rPr>
              <w:t>presentation</w:t>
            </w:r>
            <w:r w:rsidR="00BE42B1">
              <w:rPr>
                <w:sz w:val="20"/>
              </w:rPr>
              <w:t xml:space="preserve"> and optionally supporting </w:t>
            </w:r>
            <w:r w:rsidR="002D4D4F">
              <w:rPr>
                <w:sz w:val="20"/>
              </w:rPr>
              <w:t xml:space="preserve">Word </w:t>
            </w:r>
            <w:r w:rsidR="00BE42B1">
              <w:rPr>
                <w:sz w:val="20"/>
              </w:rPr>
              <w:t>documents</w:t>
            </w:r>
            <w:r>
              <w:rPr>
                <w:sz w:val="20"/>
              </w:rPr>
              <w:t>.</w:t>
            </w:r>
          </w:p>
        </w:tc>
      </w:tr>
    </w:tbl>
    <w:p w:rsidR="00251F3A" w:rsidRDefault="00251F3A"/>
    <w:p w:rsidR="00603754" w:rsidRDefault="00603754">
      <w:pPr>
        <w:rPr>
          <w:rFonts w:asciiTheme="majorHAnsi" w:eastAsiaTheme="majorEastAsia" w:hAnsiTheme="majorHAnsi" w:cstheme="majorBidi"/>
          <w:b/>
          <w:bCs/>
          <w:color w:val="365F91" w:themeColor="accent1" w:themeShade="BF"/>
          <w:sz w:val="28"/>
          <w:szCs w:val="28"/>
        </w:rPr>
      </w:pPr>
      <w:r>
        <w:br w:type="page"/>
      </w:r>
    </w:p>
    <w:p w:rsidR="00AC1713" w:rsidRDefault="00FE0F7E" w:rsidP="00603754">
      <w:pPr>
        <w:pStyle w:val="Heading1"/>
      </w:pPr>
      <w:r>
        <w:lastRenderedPageBreak/>
        <w:t>Gotcha</w:t>
      </w:r>
      <w:r w:rsidR="007669AA">
        <w:t xml:space="preserve"> and to do</w:t>
      </w:r>
    </w:p>
    <w:p w:rsidR="00FE0F7E" w:rsidRDefault="00FE0F7E" w:rsidP="002D414A">
      <w:pPr>
        <w:ind w:left="2835" w:hanging="2835"/>
      </w:pPr>
      <w:r>
        <w:t>Works only with</w:t>
      </w:r>
      <w:r w:rsidR="00F039DE">
        <w:t xml:space="preserve"> SVN:</w:t>
      </w:r>
      <w:r w:rsidR="002D414A">
        <w:tab/>
      </w:r>
      <w:r w:rsidR="00F039DE">
        <w:t>Although relying on Simuli</w:t>
      </w:r>
      <w:r>
        <w:t>nk Project, there are some SVN commands called directly in the report generator activities.</w:t>
      </w:r>
    </w:p>
    <w:p w:rsidR="00FE0F7E" w:rsidRDefault="00FE0F7E" w:rsidP="002D414A">
      <w:pPr>
        <w:ind w:left="2835" w:hanging="2835"/>
      </w:pPr>
      <w:r>
        <w:t>U</w:t>
      </w:r>
      <w:r w:rsidR="002D414A">
        <w:t>tilities and Utilities/private:</w:t>
      </w:r>
      <w:r w:rsidR="002D414A">
        <w:tab/>
      </w:r>
      <w:r>
        <w:t>They are not well separated and it could be cleaned.</w:t>
      </w:r>
    </w:p>
    <w:p w:rsidR="00FE0F7E" w:rsidRDefault="00787DB1" w:rsidP="002D414A">
      <w:pPr>
        <w:ind w:left="2835" w:hanging="2835"/>
      </w:pPr>
      <w:r>
        <w:t>Do</w:t>
      </w:r>
      <w:r w:rsidR="00F039DE">
        <w:t>o</w:t>
      </w:r>
      <w:r>
        <w:t>rs requirements</w:t>
      </w:r>
      <w:r w:rsidR="002D414A">
        <w:t>:</w:t>
      </w:r>
      <w:r w:rsidR="002D414A">
        <w:tab/>
        <w:t xml:space="preserve">Although the work was done by Fraser to have the </w:t>
      </w:r>
      <w:r>
        <w:t xml:space="preserve">DO178 </w:t>
      </w:r>
      <w:r w:rsidR="002D414A">
        <w:t xml:space="preserve">project use Doors, it is </w:t>
      </w:r>
      <w:r>
        <w:t xml:space="preserve">not yet supported </w:t>
      </w:r>
      <w:r w:rsidR="00DE61A3">
        <w:t xml:space="preserve">in the trunk. It </w:t>
      </w:r>
      <w:r w:rsidR="002D414A">
        <w:t>may be difficult to have a demo that allows us to use sometimes Word and sometimes Doors</w:t>
      </w:r>
      <w:r>
        <w:t>.</w:t>
      </w:r>
    </w:p>
    <w:p w:rsidR="002D414A" w:rsidRDefault="002D414A" w:rsidP="002D414A">
      <w:pPr>
        <w:ind w:left="2835" w:hanging="2835"/>
      </w:pPr>
      <w:r>
        <w:t>Shortcut cleanup:</w:t>
      </w:r>
      <w:r>
        <w:tab/>
      </w:r>
      <w:r w:rsidR="00603754">
        <w:t>The clean_shortcuts</w:t>
      </w:r>
      <w:r w:rsidR="00987E2D">
        <w:t xml:space="preserve"> </w:t>
      </w:r>
      <w:r w:rsidR="00603754">
        <w:t>script</w:t>
      </w:r>
      <w:r w:rsidR="00987E2D">
        <w:t xml:space="preserve"> could be simplified and simply remove all shortcut (as the set-up will restore the correct ones).</w:t>
      </w:r>
    </w:p>
    <w:p w:rsidR="00902B03" w:rsidRDefault="00902B03" w:rsidP="002D414A">
      <w:pPr>
        <w:ind w:left="2835" w:hanging="2835"/>
      </w:pPr>
      <w:r>
        <w:t>Dataset vs. logsOut:</w:t>
      </w:r>
      <w:r>
        <w:tab/>
        <w:t xml:space="preserve">The harnesses that we created for ISO26262 and DO178 use logsOut to store the simulation results. logsOut is an obsolete and to-be-retired </w:t>
      </w:r>
      <w:r w:rsidR="00603754">
        <w:t>functionality</w:t>
      </w:r>
      <w:r>
        <w:t>. Eventually, we have to update the models and rewrite partially the comparison scripts.</w:t>
      </w:r>
    </w:p>
    <w:p w:rsidR="00902B03" w:rsidRDefault="00902B03" w:rsidP="002D414A">
      <w:pPr>
        <w:ind w:left="2835" w:hanging="2835"/>
      </w:pPr>
      <w:r>
        <w:t>Tests:</w:t>
      </w:r>
      <w:r>
        <w:tab/>
        <w:t xml:space="preserve">The test vectors and the scripts to verify the results </w:t>
      </w:r>
      <w:r w:rsidR="00357CE0">
        <w:t>were written by SLDV “Generate Tests”. That does not meet the requirement in DO178 that says that tests must be derived from requirements. Also, it makes a strict equality check between an expected output and the simulation output. In practise, we should make tests derived from requirements and that have some tolerance in them.</w:t>
      </w:r>
    </w:p>
    <w:p w:rsidR="00357CE0" w:rsidRDefault="00357CE0" w:rsidP="002D414A">
      <w:pPr>
        <w:ind w:left="2835" w:hanging="2835"/>
      </w:pPr>
      <w:r>
        <w:t>Directory structure:</w:t>
      </w:r>
      <w:r>
        <w:tab/>
        <w:t>The demonstration would be easier to run if the directory was organised by activity rather than by components.</w:t>
      </w:r>
      <w:r w:rsidR="00E57609">
        <w:t xml:space="preserve"> See proposal in appendix.</w:t>
      </w:r>
    </w:p>
    <w:p w:rsidR="00E57609" w:rsidRPr="00FE0F7E" w:rsidRDefault="00925C43" w:rsidP="002D414A">
      <w:pPr>
        <w:ind w:left="2835" w:hanging="2835"/>
      </w:pPr>
      <w:r>
        <w:t>Presentation:</w:t>
      </w:r>
      <w:r>
        <w:tab/>
        <w:t xml:space="preserve">The presentation for DO178 (and probably all the others as well) could be improved if we added a visible mark on each </w:t>
      </w:r>
      <w:r w:rsidR="00FC7548">
        <w:t>slide to say which activity it</w:t>
      </w:r>
      <w:r>
        <w:t xml:space="preserve"> relate</w:t>
      </w:r>
      <w:r w:rsidR="00FC7548">
        <w:t>s</w:t>
      </w:r>
      <w:r>
        <w:t xml:space="preserve"> to. (e.g. a V logo with a dot in the correct place…)</w:t>
      </w:r>
      <w:bookmarkStart w:id="1" w:name="_GoBack"/>
      <w:bookmarkEnd w:id="1"/>
    </w:p>
    <w:p w:rsidR="006D2738" w:rsidRDefault="006D2738">
      <w:pPr>
        <w:rPr>
          <w:rFonts w:asciiTheme="majorHAnsi" w:eastAsiaTheme="majorEastAsia" w:hAnsiTheme="majorHAnsi" w:cstheme="majorBidi"/>
          <w:b/>
          <w:bCs/>
          <w:color w:val="4F81BD" w:themeColor="accent1"/>
          <w:sz w:val="26"/>
          <w:szCs w:val="26"/>
        </w:rPr>
      </w:pPr>
      <w:r>
        <w:br w:type="page"/>
      </w:r>
    </w:p>
    <w:p w:rsidR="006D2738" w:rsidRDefault="00E57609" w:rsidP="00E57609">
      <w:pPr>
        <w:pStyle w:val="Heading2"/>
      </w:pPr>
      <w:r>
        <w:lastRenderedPageBreak/>
        <w:t xml:space="preserve">Appendix: </w:t>
      </w:r>
      <w:r w:rsidR="006D2738">
        <w:t xml:space="preserve">New folder layout by </w:t>
      </w:r>
      <w:r w:rsidR="002C17E5">
        <w:t>Activity</w:t>
      </w:r>
    </w:p>
    <w:p w:rsidR="00E57609" w:rsidRPr="00E57609" w:rsidRDefault="00335965" w:rsidP="00335965">
      <w:pPr>
        <w:pStyle w:val="Heading3"/>
      </w:pPr>
      <w:r>
        <w:t>Layout</w:t>
      </w:r>
    </w:p>
    <w:tbl>
      <w:tblPr>
        <w:tblStyle w:val="TableGrid"/>
        <w:tblW w:w="7938" w:type="dxa"/>
        <w:tblInd w:w="108" w:type="dxa"/>
        <w:tblLayout w:type="fixed"/>
        <w:tblLook w:val="04A0" w:firstRow="1" w:lastRow="0" w:firstColumn="1" w:lastColumn="0" w:noHBand="0" w:noVBand="1"/>
      </w:tblPr>
      <w:tblGrid>
        <w:gridCol w:w="3969"/>
        <w:gridCol w:w="3969"/>
      </w:tblGrid>
      <w:tr w:rsidR="002C17E5" w:rsidRPr="00432D38" w:rsidTr="002C17E5">
        <w:tc>
          <w:tcPr>
            <w:tcW w:w="3969" w:type="dxa"/>
          </w:tcPr>
          <w:p w:rsidR="002C17E5" w:rsidRPr="00432D38" w:rsidRDefault="002C17E5" w:rsidP="003D110E">
            <w:pPr>
              <w:rPr>
                <w:b/>
                <w:sz w:val="20"/>
              </w:rPr>
            </w:pPr>
            <w:r w:rsidRPr="00432D38">
              <w:rPr>
                <w:b/>
                <w:sz w:val="20"/>
              </w:rPr>
              <w:t>Folder</w:t>
            </w:r>
          </w:p>
        </w:tc>
        <w:tc>
          <w:tcPr>
            <w:tcW w:w="3969" w:type="dxa"/>
          </w:tcPr>
          <w:p w:rsidR="002C17E5" w:rsidRPr="00432D38" w:rsidRDefault="002C17E5" w:rsidP="003D110E">
            <w:pPr>
              <w:rPr>
                <w:b/>
                <w:sz w:val="20"/>
              </w:rPr>
            </w:pPr>
            <w:r>
              <w:rPr>
                <w:b/>
                <w:sz w:val="20"/>
              </w:rPr>
              <w:t>What</w:t>
            </w:r>
          </w:p>
        </w:tc>
      </w:tr>
      <w:tr w:rsidR="002C17E5" w:rsidRPr="009F5828" w:rsidTr="002C17E5">
        <w:tc>
          <w:tcPr>
            <w:tcW w:w="3969" w:type="dxa"/>
          </w:tcPr>
          <w:p w:rsidR="002C17E5" w:rsidRPr="009F5828" w:rsidRDefault="002C17E5" w:rsidP="003D110E">
            <w:pPr>
              <w:rPr>
                <w:rFonts w:ascii="Courier New" w:hAnsi="Courier New" w:cs="Courier New"/>
                <w:spacing w:val="-10"/>
                <w:sz w:val="16"/>
              </w:rPr>
            </w:pPr>
            <w:r w:rsidRPr="009F5828">
              <w:rPr>
                <w:rFonts w:ascii="Courier New" w:hAnsi="Courier New" w:cs="Courier New"/>
                <w:spacing w:val="-10"/>
                <w:sz w:val="16"/>
              </w:rPr>
              <w:t>Certif/&lt;standard&gt;/Requirements</w:t>
            </w:r>
          </w:p>
        </w:tc>
        <w:tc>
          <w:tcPr>
            <w:tcW w:w="3969" w:type="dxa"/>
          </w:tcPr>
          <w:p w:rsidR="002C17E5" w:rsidRPr="009F5828" w:rsidRDefault="00925C43" w:rsidP="003D110E">
            <w:pPr>
              <w:rPr>
                <w:rFonts w:ascii="Courier New" w:hAnsi="Courier New" w:cs="Courier New"/>
                <w:spacing w:val="-10"/>
                <w:sz w:val="16"/>
              </w:rPr>
            </w:pPr>
            <w:r>
              <w:rPr>
                <w:rFonts w:ascii="Courier New" w:hAnsi="Courier New" w:cs="Courier New"/>
                <w:spacing w:val="-10"/>
                <w:sz w:val="16"/>
              </w:rPr>
              <w:t>High level requirements</w:t>
            </w:r>
          </w:p>
        </w:tc>
      </w:tr>
      <w:tr w:rsidR="002C17E5" w:rsidRPr="009F5828" w:rsidTr="002C17E5">
        <w:tc>
          <w:tcPr>
            <w:tcW w:w="3969" w:type="dxa"/>
          </w:tcPr>
          <w:p w:rsidR="002C17E5" w:rsidRPr="009F5828" w:rsidRDefault="002C17E5"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/&lt;standard&gt;/Presentation</w:t>
            </w:r>
          </w:p>
        </w:tc>
        <w:tc>
          <w:tcPr>
            <w:tcW w:w="3969" w:type="dxa"/>
          </w:tcPr>
          <w:p w:rsidR="002C17E5" w:rsidRPr="009F5828" w:rsidRDefault="00925C43" w:rsidP="00925C43">
            <w:pPr>
              <w:rPr>
                <w:rFonts w:ascii="Courier New" w:hAnsi="Courier New" w:cs="Courier New"/>
                <w:spacing w:val="-10"/>
                <w:sz w:val="16"/>
              </w:rPr>
            </w:pPr>
            <w:r>
              <w:rPr>
                <w:rFonts w:ascii="Courier New" w:hAnsi="Courier New" w:cs="Courier New"/>
                <w:spacing w:val="-10"/>
                <w:sz w:val="16"/>
              </w:rPr>
              <w:t>PowerPoint presentation</w:t>
            </w:r>
          </w:p>
        </w:tc>
      </w:tr>
      <w:tr w:rsidR="002C17E5" w:rsidRPr="009F5828" w:rsidTr="002C17E5">
        <w:tc>
          <w:tcPr>
            <w:tcW w:w="3969" w:type="dxa"/>
          </w:tcPr>
          <w:p w:rsidR="002C17E5" w:rsidRPr="009F5828" w:rsidRDefault="002C17E5" w:rsidP="002C17E5">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w:t>
            </w:r>
            <w:r>
              <w:rPr>
                <w:rFonts w:ascii="Courier New" w:hAnsi="Courier New" w:cs="Courier New"/>
                <w:spacing w:val="-10"/>
                <w:sz w:val="16"/>
              </w:rPr>
              <w:t>rd&gt;/1</w:t>
            </w:r>
            <w:r w:rsidRPr="009F5828">
              <w:rPr>
                <w:rFonts w:ascii="Courier New" w:hAnsi="Courier New" w:cs="Courier New"/>
                <w:spacing w:val="-10"/>
                <w:sz w:val="16"/>
              </w:rPr>
              <w:t>_</w:t>
            </w:r>
            <w:r>
              <w:rPr>
                <w:rFonts w:ascii="Courier New" w:hAnsi="Courier New" w:cs="Courier New"/>
                <w:spacing w:val="-10"/>
                <w:sz w:val="16"/>
              </w:rPr>
              <w:t>Requirements</w:t>
            </w:r>
          </w:p>
        </w:tc>
        <w:tc>
          <w:tcPr>
            <w:tcW w:w="3969" w:type="dxa"/>
          </w:tcPr>
          <w:p w:rsidR="002C17E5" w:rsidRDefault="00925C43" w:rsidP="002C17E5">
            <w:pPr>
              <w:rPr>
                <w:rFonts w:ascii="Courier New" w:hAnsi="Courier New" w:cs="Courier New"/>
                <w:spacing w:val="-10"/>
                <w:sz w:val="16"/>
              </w:rPr>
            </w:pPr>
            <w:r>
              <w:rPr>
                <w:rFonts w:ascii="Courier New" w:hAnsi="Courier New" w:cs="Courier New"/>
                <w:spacing w:val="-10"/>
                <w:sz w:val="16"/>
              </w:rPr>
              <w:t>The work document.</w:t>
            </w:r>
          </w:p>
          <w:p w:rsidR="00925C43" w:rsidRPr="009F5828" w:rsidRDefault="00925C43" w:rsidP="002C17E5">
            <w:pPr>
              <w:rPr>
                <w:rFonts w:ascii="Courier New" w:hAnsi="Courier New" w:cs="Courier New"/>
                <w:spacing w:val="-10"/>
                <w:sz w:val="16"/>
              </w:rPr>
            </w:pPr>
            <w:r>
              <w:rPr>
                <w:rFonts w:ascii="Courier New" w:hAnsi="Courier New" w:cs="Courier New"/>
                <w:spacing w:val="-10"/>
                <w:sz w:val="16"/>
              </w:rPr>
              <w:t>Supporting high-level models</w:t>
            </w:r>
          </w:p>
        </w:tc>
      </w:tr>
      <w:tr w:rsidR="002C17E5" w:rsidRPr="009F5828" w:rsidTr="002C17E5">
        <w:tc>
          <w:tcPr>
            <w:tcW w:w="3969" w:type="dxa"/>
          </w:tcPr>
          <w:p w:rsidR="002C17E5" w:rsidRPr="009F5828" w:rsidRDefault="002C17E5" w:rsidP="002C17E5">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w:t>
            </w:r>
            <w:r>
              <w:rPr>
                <w:rFonts w:ascii="Courier New" w:hAnsi="Courier New" w:cs="Courier New"/>
                <w:spacing w:val="-10"/>
                <w:sz w:val="16"/>
              </w:rPr>
              <w:t>rd&gt;/2</w:t>
            </w:r>
            <w:r w:rsidRPr="009F5828">
              <w:rPr>
                <w:rFonts w:ascii="Courier New" w:hAnsi="Courier New" w:cs="Courier New"/>
                <w:spacing w:val="-10"/>
                <w:sz w:val="16"/>
              </w:rPr>
              <w:t>_</w:t>
            </w:r>
            <w:r>
              <w:rPr>
                <w:rFonts w:ascii="Courier New" w:hAnsi="Courier New" w:cs="Courier New"/>
                <w:spacing w:val="-10"/>
                <w:sz w:val="16"/>
              </w:rPr>
              <w:t>Design</w:t>
            </w:r>
          </w:p>
        </w:tc>
        <w:tc>
          <w:tcPr>
            <w:tcW w:w="3969" w:type="dxa"/>
          </w:tcPr>
          <w:p w:rsidR="002C17E5" w:rsidRDefault="00925C43" w:rsidP="002C17E5">
            <w:pPr>
              <w:rPr>
                <w:rFonts w:ascii="Courier New" w:hAnsi="Courier New" w:cs="Courier New"/>
                <w:spacing w:val="-10"/>
                <w:sz w:val="16"/>
              </w:rPr>
            </w:pPr>
            <w:r>
              <w:rPr>
                <w:rFonts w:ascii="Courier New" w:hAnsi="Courier New" w:cs="Courier New"/>
                <w:spacing w:val="-10"/>
                <w:sz w:val="16"/>
              </w:rPr>
              <w:t>Plant models</w:t>
            </w:r>
          </w:p>
          <w:p w:rsidR="00925C43" w:rsidRPr="009F5828" w:rsidRDefault="00925C43" w:rsidP="002C17E5">
            <w:pPr>
              <w:rPr>
                <w:rFonts w:ascii="Courier New" w:hAnsi="Courier New" w:cs="Courier New"/>
                <w:spacing w:val="-10"/>
                <w:sz w:val="16"/>
              </w:rPr>
            </w:pPr>
            <w:r>
              <w:rPr>
                <w:rFonts w:ascii="Courier New" w:hAnsi="Courier New" w:cs="Courier New"/>
                <w:spacing w:val="-10"/>
                <w:sz w:val="16"/>
              </w:rPr>
              <w:t>Design models</w:t>
            </w:r>
          </w:p>
        </w:tc>
      </w:tr>
      <w:tr w:rsidR="002C17E5" w:rsidRPr="009F5828" w:rsidTr="002C17E5">
        <w:tc>
          <w:tcPr>
            <w:tcW w:w="3969" w:type="dxa"/>
          </w:tcPr>
          <w:p w:rsidR="002C17E5" w:rsidRPr="009F5828" w:rsidRDefault="002C17E5" w:rsidP="003D110E">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w:t>
            </w:r>
            <w:r>
              <w:rPr>
                <w:rFonts w:ascii="Courier New" w:hAnsi="Courier New" w:cs="Courier New"/>
                <w:spacing w:val="-10"/>
                <w:sz w:val="16"/>
              </w:rPr>
              <w:t>r</w:t>
            </w:r>
            <w:r w:rsidRPr="009F5828">
              <w:rPr>
                <w:rFonts w:ascii="Courier New" w:hAnsi="Courier New" w:cs="Courier New"/>
                <w:spacing w:val="-10"/>
                <w:sz w:val="16"/>
              </w:rPr>
              <w:t>d&gt;/3_Verification</w:t>
            </w:r>
          </w:p>
        </w:tc>
        <w:tc>
          <w:tcPr>
            <w:tcW w:w="3969" w:type="dxa"/>
          </w:tcPr>
          <w:p w:rsidR="002C17E5" w:rsidRDefault="00925C43" w:rsidP="003D110E">
            <w:pPr>
              <w:rPr>
                <w:rFonts w:ascii="Courier New" w:hAnsi="Courier New" w:cs="Courier New"/>
                <w:spacing w:val="-10"/>
                <w:sz w:val="16"/>
              </w:rPr>
            </w:pPr>
            <w:r>
              <w:rPr>
                <w:rFonts w:ascii="Courier New" w:hAnsi="Courier New" w:cs="Courier New"/>
                <w:spacing w:val="-10"/>
                <w:sz w:val="16"/>
              </w:rPr>
              <w:t>Harness for model verification (host simulation)</w:t>
            </w:r>
          </w:p>
          <w:p w:rsidR="00925C43" w:rsidRDefault="00925C43" w:rsidP="003D110E">
            <w:pPr>
              <w:rPr>
                <w:rFonts w:ascii="Courier New" w:hAnsi="Courier New" w:cs="Courier New"/>
                <w:spacing w:val="-10"/>
                <w:sz w:val="16"/>
              </w:rPr>
            </w:pPr>
            <w:r>
              <w:rPr>
                <w:rFonts w:ascii="Courier New" w:hAnsi="Courier New" w:cs="Courier New"/>
                <w:spacing w:val="-10"/>
                <w:sz w:val="16"/>
              </w:rPr>
              <w:t>Model Advisor configuration</w:t>
            </w:r>
          </w:p>
          <w:p w:rsidR="00925C43" w:rsidRPr="009F5828" w:rsidRDefault="00925C43" w:rsidP="003D110E">
            <w:pPr>
              <w:rPr>
                <w:rFonts w:ascii="Courier New" w:hAnsi="Courier New" w:cs="Courier New"/>
                <w:spacing w:val="-10"/>
                <w:sz w:val="16"/>
              </w:rPr>
            </w:pPr>
            <w:r>
              <w:rPr>
                <w:rFonts w:ascii="Courier New" w:hAnsi="Courier New" w:cs="Courier New"/>
                <w:spacing w:val="-10"/>
                <w:sz w:val="16"/>
              </w:rPr>
              <w:t>Report templates</w:t>
            </w:r>
          </w:p>
        </w:tc>
      </w:tr>
      <w:tr w:rsidR="002C17E5" w:rsidRPr="009F5828" w:rsidTr="002C17E5">
        <w:tc>
          <w:tcPr>
            <w:tcW w:w="3969" w:type="dxa"/>
          </w:tcPr>
          <w:p w:rsidR="002C17E5" w:rsidRPr="009F5828" w:rsidRDefault="002C17E5" w:rsidP="002C17E5">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w:t>
            </w:r>
            <w:r>
              <w:rPr>
                <w:rFonts w:ascii="Courier New" w:hAnsi="Courier New" w:cs="Courier New"/>
                <w:spacing w:val="-10"/>
                <w:sz w:val="16"/>
              </w:rPr>
              <w:t>r</w:t>
            </w:r>
            <w:r w:rsidRPr="009F5828">
              <w:rPr>
                <w:rFonts w:ascii="Courier New" w:hAnsi="Courier New" w:cs="Courier New"/>
                <w:spacing w:val="-10"/>
                <w:sz w:val="16"/>
              </w:rPr>
              <w:t>d&gt;/</w:t>
            </w:r>
            <w:r>
              <w:rPr>
                <w:rFonts w:ascii="Courier New" w:hAnsi="Courier New" w:cs="Courier New"/>
                <w:spacing w:val="-10"/>
                <w:sz w:val="16"/>
              </w:rPr>
              <w:t>4</w:t>
            </w:r>
            <w:r w:rsidRPr="009F5828">
              <w:rPr>
                <w:rFonts w:ascii="Courier New" w:hAnsi="Courier New" w:cs="Courier New"/>
                <w:spacing w:val="-10"/>
                <w:sz w:val="16"/>
              </w:rPr>
              <w:t>_</w:t>
            </w:r>
            <w:r>
              <w:rPr>
                <w:rFonts w:ascii="Courier New" w:hAnsi="Courier New" w:cs="Courier New"/>
                <w:spacing w:val="-10"/>
                <w:sz w:val="16"/>
              </w:rPr>
              <w:t>CodeGeneration</w:t>
            </w:r>
            <w:r w:rsidR="00925C43">
              <w:rPr>
                <w:rFonts w:ascii="Courier New" w:hAnsi="Courier New" w:cs="Courier New"/>
                <w:spacing w:val="-10"/>
                <w:sz w:val="16"/>
              </w:rPr>
              <w:t>_and_Verification</w:t>
            </w:r>
          </w:p>
        </w:tc>
        <w:tc>
          <w:tcPr>
            <w:tcW w:w="3969" w:type="dxa"/>
          </w:tcPr>
          <w:p w:rsidR="002C17E5" w:rsidRDefault="00925C43" w:rsidP="002C17E5">
            <w:pPr>
              <w:rPr>
                <w:rFonts w:ascii="Courier New" w:hAnsi="Courier New" w:cs="Courier New"/>
                <w:spacing w:val="-10"/>
                <w:sz w:val="16"/>
              </w:rPr>
            </w:pPr>
            <w:r>
              <w:rPr>
                <w:rFonts w:ascii="Courier New" w:hAnsi="Courier New" w:cs="Courier New"/>
                <w:spacing w:val="-10"/>
                <w:sz w:val="16"/>
              </w:rPr>
              <w:t xml:space="preserve">Code templates </w:t>
            </w:r>
          </w:p>
          <w:p w:rsidR="00925C43" w:rsidRDefault="00925C43" w:rsidP="002C17E5">
            <w:pPr>
              <w:rPr>
                <w:rFonts w:ascii="Courier New" w:hAnsi="Courier New" w:cs="Courier New"/>
                <w:spacing w:val="-10"/>
                <w:sz w:val="16"/>
              </w:rPr>
            </w:pPr>
            <w:r>
              <w:rPr>
                <w:rFonts w:ascii="Courier New" w:hAnsi="Courier New" w:cs="Courier New"/>
                <w:spacing w:val="-10"/>
                <w:sz w:val="16"/>
              </w:rPr>
              <w:t>Code gen configuration</w:t>
            </w:r>
          </w:p>
          <w:p w:rsidR="00925C43" w:rsidRDefault="00925C43" w:rsidP="002C17E5">
            <w:pPr>
              <w:rPr>
                <w:rFonts w:ascii="Courier New" w:hAnsi="Courier New" w:cs="Courier New"/>
                <w:spacing w:val="-10"/>
                <w:sz w:val="16"/>
              </w:rPr>
            </w:pPr>
            <w:r>
              <w:rPr>
                <w:rFonts w:ascii="Courier New" w:hAnsi="Courier New" w:cs="Courier New"/>
                <w:spacing w:val="-10"/>
                <w:sz w:val="16"/>
              </w:rPr>
              <w:t>Workspace data</w:t>
            </w:r>
          </w:p>
          <w:p w:rsidR="00925C43" w:rsidRDefault="00925C43" w:rsidP="002C17E5">
            <w:pPr>
              <w:rPr>
                <w:rFonts w:ascii="Courier New" w:hAnsi="Courier New" w:cs="Courier New"/>
                <w:spacing w:val="-10"/>
                <w:sz w:val="16"/>
              </w:rPr>
            </w:pPr>
            <w:r>
              <w:rPr>
                <w:rFonts w:ascii="Courier New" w:hAnsi="Courier New" w:cs="Courier New"/>
                <w:spacing w:val="-10"/>
                <w:sz w:val="16"/>
              </w:rPr>
              <w:t>Code Replacement scripts</w:t>
            </w:r>
          </w:p>
          <w:p w:rsidR="00925C43" w:rsidRPr="009F5828" w:rsidRDefault="00925C43" w:rsidP="002C17E5">
            <w:pPr>
              <w:rPr>
                <w:rFonts w:ascii="Courier New" w:hAnsi="Courier New" w:cs="Courier New"/>
                <w:spacing w:val="-10"/>
                <w:sz w:val="16"/>
              </w:rPr>
            </w:pPr>
            <w:r>
              <w:rPr>
                <w:rFonts w:ascii="Courier New" w:hAnsi="Courier New" w:cs="Courier New"/>
                <w:spacing w:val="-10"/>
                <w:sz w:val="16"/>
              </w:rPr>
              <w:t>Harness for model verification (SIL)</w:t>
            </w:r>
          </w:p>
        </w:tc>
      </w:tr>
      <w:tr w:rsidR="002C17E5" w:rsidRPr="009F5828" w:rsidTr="002C17E5">
        <w:tc>
          <w:tcPr>
            <w:tcW w:w="3969" w:type="dxa"/>
          </w:tcPr>
          <w:p w:rsidR="002C17E5" w:rsidRPr="009F5828" w:rsidRDefault="002C17E5" w:rsidP="002C17E5">
            <w:pPr>
              <w:rPr>
                <w:rFonts w:ascii="Courier New" w:hAnsi="Courier New" w:cs="Courier New"/>
                <w:spacing w:val="-10"/>
                <w:sz w:val="16"/>
              </w:rPr>
            </w:pPr>
            <w:proofErr w:type="spellStart"/>
            <w:r w:rsidRPr="009F5828">
              <w:rPr>
                <w:rFonts w:ascii="Courier New" w:hAnsi="Courier New" w:cs="Courier New"/>
                <w:spacing w:val="-10"/>
                <w:sz w:val="16"/>
              </w:rPr>
              <w:t>Certif</w:t>
            </w:r>
            <w:proofErr w:type="spellEnd"/>
            <w:r w:rsidRPr="009F5828">
              <w:rPr>
                <w:rFonts w:ascii="Courier New" w:hAnsi="Courier New" w:cs="Courier New"/>
                <w:spacing w:val="-10"/>
                <w:sz w:val="16"/>
              </w:rPr>
              <w:t>/&lt;standa</w:t>
            </w:r>
            <w:r>
              <w:rPr>
                <w:rFonts w:ascii="Courier New" w:hAnsi="Courier New" w:cs="Courier New"/>
                <w:spacing w:val="-10"/>
                <w:sz w:val="16"/>
              </w:rPr>
              <w:t>r</w:t>
            </w:r>
            <w:r w:rsidRPr="009F5828">
              <w:rPr>
                <w:rFonts w:ascii="Courier New" w:hAnsi="Courier New" w:cs="Courier New"/>
                <w:spacing w:val="-10"/>
                <w:sz w:val="16"/>
              </w:rPr>
              <w:t>d&gt;/</w:t>
            </w:r>
            <w:r>
              <w:rPr>
                <w:rFonts w:ascii="Courier New" w:hAnsi="Courier New" w:cs="Courier New"/>
                <w:spacing w:val="-10"/>
                <w:sz w:val="16"/>
              </w:rPr>
              <w:t>5</w:t>
            </w:r>
            <w:r w:rsidRPr="009F5828">
              <w:rPr>
                <w:rFonts w:ascii="Courier New" w:hAnsi="Courier New" w:cs="Courier New"/>
                <w:spacing w:val="-10"/>
                <w:sz w:val="16"/>
              </w:rPr>
              <w:t>_</w:t>
            </w:r>
            <w:r>
              <w:rPr>
                <w:rFonts w:ascii="Courier New" w:hAnsi="Courier New" w:cs="Courier New"/>
                <w:spacing w:val="-10"/>
                <w:sz w:val="16"/>
              </w:rPr>
              <w:t>Certification</w:t>
            </w:r>
          </w:p>
        </w:tc>
        <w:tc>
          <w:tcPr>
            <w:tcW w:w="3969" w:type="dxa"/>
          </w:tcPr>
          <w:p w:rsidR="002C17E5" w:rsidRDefault="00925C43" w:rsidP="00925C43">
            <w:pPr>
              <w:rPr>
                <w:rFonts w:ascii="Courier New" w:hAnsi="Courier New" w:cs="Courier New"/>
                <w:spacing w:val="-10"/>
                <w:sz w:val="16"/>
              </w:rPr>
            </w:pPr>
            <w:r>
              <w:rPr>
                <w:rFonts w:ascii="Courier New" w:hAnsi="Courier New" w:cs="Courier New"/>
                <w:spacing w:val="-10"/>
                <w:sz w:val="16"/>
              </w:rPr>
              <w:t>Process documents</w:t>
            </w:r>
          </w:p>
          <w:p w:rsidR="00925C43" w:rsidRPr="009F5828" w:rsidRDefault="00925C43" w:rsidP="00925C43">
            <w:pPr>
              <w:rPr>
                <w:rFonts w:ascii="Courier New" w:hAnsi="Courier New" w:cs="Courier New"/>
                <w:spacing w:val="-10"/>
                <w:sz w:val="16"/>
              </w:rPr>
            </w:pPr>
            <w:r>
              <w:rPr>
                <w:rFonts w:ascii="Courier New" w:hAnsi="Courier New" w:cs="Courier New"/>
                <w:spacing w:val="-10"/>
                <w:sz w:val="16"/>
              </w:rPr>
              <w:t>Archiving Scripts, CM related scripts.</w:t>
            </w:r>
          </w:p>
        </w:tc>
      </w:tr>
    </w:tbl>
    <w:p w:rsidR="00925C43" w:rsidRDefault="00925C43" w:rsidP="007669AA">
      <w:r>
        <w:t>Scripts may now be in the relevant activity.</w:t>
      </w:r>
    </w:p>
    <w:p w:rsidR="00925C43" w:rsidRDefault="00925C43" w:rsidP="007669AA">
      <w:r>
        <w:t>A Utility directory will remain necessary to store all common utility scripts/</w:t>
      </w:r>
    </w:p>
    <w:p w:rsidR="002C17E5" w:rsidRDefault="002C17E5" w:rsidP="002C17E5">
      <w:pPr>
        <w:pStyle w:val="Heading3"/>
      </w:pPr>
      <w:r>
        <w:t>Use tags to identify the models:</w:t>
      </w:r>
    </w:p>
    <w:p w:rsidR="00335965" w:rsidRDefault="00335965" w:rsidP="002C17E5">
      <w:r>
        <w:t>In the current model, we have relied on naming convention and directory structure to help us recognise the test model from the design models. This is underutilising the power of Sim</w:t>
      </w:r>
      <w:r w:rsidR="00603754">
        <w:t>u</w:t>
      </w:r>
      <w:r>
        <w:t>linkProject.</w:t>
      </w:r>
    </w:p>
    <w:p w:rsidR="002C17E5" w:rsidRDefault="00335965" w:rsidP="002C17E5">
      <w:r>
        <w:t>We propose to use tags to earmark the top model, various test and plant models. All shortcut scripts can use a new utility scripts to locate the correct model.</w:t>
      </w:r>
    </w:p>
    <w:p w:rsidR="00335965" w:rsidRDefault="00335965" w:rsidP="002C17E5"/>
    <w:p w:rsidR="002C17E5" w:rsidRPr="007669AA" w:rsidRDefault="002C17E5" w:rsidP="007669AA"/>
    <w:sectPr w:rsidR="002C17E5" w:rsidRPr="007669AA" w:rsidSect="00942FA0">
      <w:pgSz w:w="11906" w:h="16838"/>
      <w:pgMar w:top="1247" w:right="1247" w:bottom="1247" w:left="124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ylvain Sauvage" w:date="2013-07-12T09:33:00Z" w:initials="SS">
    <w:p w:rsidR="00251F3A" w:rsidRDefault="00251F3A" w:rsidP="00251F3A">
      <w:pPr>
        <w:pStyle w:val="CommentText"/>
      </w:pPr>
      <w:r>
        <w:rPr>
          <w:rStyle w:val="CommentReference"/>
        </w:rPr>
        <w:annotationRef/>
      </w:r>
      <w:r w:rsidR="00612B0A">
        <w:t>Would be better re</w:t>
      </w:r>
      <w:r>
        <w:t>name</w:t>
      </w:r>
      <w:r w:rsidR="00612B0A">
        <w:t>d</w:t>
      </w:r>
      <w:r>
        <w:t xml:space="preserve"> </w:t>
      </w:r>
      <w:r w:rsidR="00612B0A">
        <w:t>as</w:t>
      </w:r>
      <w:r>
        <w:t xml:space="preserve"> </w:t>
      </w:r>
      <w:r w:rsidR="00612B0A">
        <w:t>“</w:t>
      </w:r>
      <w:r>
        <w:t>Design</w:t>
      </w:r>
      <w:r w:rsidR="00612B0A">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0F2" w:rsidRDefault="000D70F2" w:rsidP="002D414A">
      <w:pPr>
        <w:spacing w:after="0" w:line="240" w:lineRule="auto"/>
      </w:pPr>
      <w:r>
        <w:separator/>
      </w:r>
    </w:p>
  </w:endnote>
  <w:endnote w:type="continuationSeparator" w:id="0">
    <w:p w:rsidR="000D70F2" w:rsidRDefault="000D70F2" w:rsidP="002D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0F2" w:rsidRDefault="000D70F2" w:rsidP="002D414A">
      <w:pPr>
        <w:spacing w:after="0" w:line="240" w:lineRule="auto"/>
      </w:pPr>
      <w:r>
        <w:separator/>
      </w:r>
    </w:p>
  </w:footnote>
  <w:footnote w:type="continuationSeparator" w:id="0">
    <w:p w:rsidR="000D70F2" w:rsidRDefault="000D70F2" w:rsidP="002D414A">
      <w:pPr>
        <w:spacing w:after="0" w:line="240" w:lineRule="auto"/>
      </w:pPr>
      <w:r>
        <w:continuationSeparator/>
      </w:r>
    </w:p>
  </w:footnote>
  <w:footnote w:id="1">
    <w:p w:rsidR="002D414A" w:rsidRDefault="002D414A">
      <w:pPr>
        <w:pStyle w:val="FootnoteText"/>
      </w:pPr>
      <w:r>
        <w:rPr>
          <w:rStyle w:val="FootnoteReference"/>
        </w:rPr>
        <w:footnoteRef/>
      </w:r>
      <w:r>
        <w:t xml:space="preserve"> </w:t>
      </w:r>
      <w:proofErr w:type="gramStart"/>
      <w:r>
        <w:t>common</w:t>
      </w:r>
      <w:proofErr w:type="gramEnd"/>
      <w:r>
        <w:t xml:space="preserve"> means common to all standards and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19F3"/>
    <w:multiLevelType w:val="hybridMultilevel"/>
    <w:tmpl w:val="BCAEECC2"/>
    <w:lvl w:ilvl="0" w:tplc="27287B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3381C"/>
    <w:multiLevelType w:val="hybridMultilevel"/>
    <w:tmpl w:val="9E7EC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F354B7"/>
    <w:multiLevelType w:val="hybridMultilevel"/>
    <w:tmpl w:val="8BF0F3AE"/>
    <w:lvl w:ilvl="0" w:tplc="27287BA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4073112"/>
    <w:multiLevelType w:val="hybridMultilevel"/>
    <w:tmpl w:val="6E1A3E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AD6644B"/>
    <w:multiLevelType w:val="hybridMultilevel"/>
    <w:tmpl w:val="C922C08E"/>
    <w:lvl w:ilvl="0" w:tplc="27287B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73"/>
    <w:rsid w:val="000120FC"/>
    <w:rsid w:val="00013F04"/>
    <w:rsid w:val="000A1EE6"/>
    <w:rsid w:val="000D70F2"/>
    <w:rsid w:val="000F2413"/>
    <w:rsid w:val="001338CE"/>
    <w:rsid w:val="00147F33"/>
    <w:rsid w:val="00155C29"/>
    <w:rsid w:val="001C2CE2"/>
    <w:rsid w:val="001C7962"/>
    <w:rsid w:val="00251F3A"/>
    <w:rsid w:val="00284ADE"/>
    <w:rsid w:val="002C17E5"/>
    <w:rsid w:val="002D414A"/>
    <w:rsid w:val="002D41A0"/>
    <w:rsid w:val="002D4D4F"/>
    <w:rsid w:val="00335965"/>
    <w:rsid w:val="003465CF"/>
    <w:rsid w:val="00347E08"/>
    <w:rsid w:val="00356DEC"/>
    <w:rsid w:val="00357939"/>
    <w:rsid w:val="00357CE0"/>
    <w:rsid w:val="00363497"/>
    <w:rsid w:val="00432D38"/>
    <w:rsid w:val="00463D9A"/>
    <w:rsid w:val="00467F29"/>
    <w:rsid w:val="004A08B1"/>
    <w:rsid w:val="004E05C1"/>
    <w:rsid w:val="00513E5A"/>
    <w:rsid w:val="005F5A3C"/>
    <w:rsid w:val="00603754"/>
    <w:rsid w:val="00612B0A"/>
    <w:rsid w:val="00627703"/>
    <w:rsid w:val="0066574A"/>
    <w:rsid w:val="00671582"/>
    <w:rsid w:val="0068795D"/>
    <w:rsid w:val="006D2738"/>
    <w:rsid w:val="00733F76"/>
    <w:rsid w:val="007361A8"/>
    <w:rsid w:val="007669AA"/>
    <w:rsid w:val="00784D5C"/>
    <w:rsid w:val="00787DB1"/>
    <w:rsid w:val="007D6D1C"/>
    <w:rsid w:val="007F5DD9"/>
    <w:rsid w:val="00817B0F"/>
    <w:rsid w:val="00883DDD"/>
    <w:rsid w:val="0089294C"/>
    <w:rsid w:val="00902B03"/>
    <w:rsid w:val="0091185E"/>
    <w:rsid w:val="00925C43"/>
    <w:rsid w:val="00942FA0"/>
    <w:rsid w:val="00946D80"/>
    <w:rsid w:val="00967C79"/>
    <w:rsid w:val="00987E2D"/>
    <w:rsid w:val="009E7A3F"/>
    <w:rsid w:val="009F5828"/>
    <w:rsid w:val="00A8073E"/>
    <w:rsid w:val="00AA0793"/>
    <w:rsid w:val="00AC1713"/>
    <w:rsid w:val="00B73A41"/>
    <w:rsid w:val="00B86116"/>
    <w:rsid w:val="00BA2D66"/>
    <w:rsid w:val="00BB6E45"/>
    <w:rsid w:val="00BD0E7E"/>
    <w:rsid w:val="00BD3EE3"/>
    <w:rsid w:val="00BE42B1"/>
    <w:rsid w:val="00C138B7"/>
    <w:rsid w:val="00C42B5C"/>
    <w:rsid w:val="00C4692B"/>
    <w:rsid w:val="00C87905"/>
    <w:rsid w:val="00CC0ABF"/>
    <w:rsid w:val="00D6639D"/>
    <w:rsid w:val="00D74447"/>
    <w:rsid w:val="00D90BA9"/>
    <w:rsid w:val="00DD7FF5"/>
    <w:rsid w:val="00DE61A3"/>
    <w:rsid w:val="00DF1622"/>
    <w:rsid w:val="00E0315E"/>
    <w:rsid w:val="00E57609"/>
    <w:rsid w:val="00EE5DE7"/>
    <w:rsid w:val="00F039DE"/>
    <w:rsid w:val="00F10A39"/>
    <w:rsid w:val="00F24973"/>
    <w:rsid w:val="00F769D1"/>
    <w:rsid w:val="00FC7548"/>
    <w:rsid w:val="00FE0F7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1C"/>
  </w:style>
  <w:style w:type="paragraph" w:styleId="Heading1">
    <w:name w:val="heading 1"/>
    <w:basedOn w:val="Normal"/>
    <w:next w:val="Normal"/>
    <w:link w:val="Heading1Char"/>
    <w:uiPriority w:val="9"/>
    <w:qFormat/>
    <w:rsid w:val="00911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D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15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4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1185E"/>
    <w:rPr>
      <w:color w:val="0000FF" w:themeColor="hyperlink"/>
      <w:u w:val="single"/>
    </w:rPr>
  </w:style>
  <w:style w:type="character" w:customStyle="1" w:styleId="Heading1Char">
    <w:name w:val="Heading 1 Char"/>
    <w:basedOn w:val="DefaultParagraphFont"/>
    <w:link w:val="Heading1"/>
    <w:uiPriority w:val="9"/>
    <w:rsid w:val="009118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8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185E"/>
    <w:pPr>
      <w:ind w:left="720"/>
      <w:contextualSpacing/>
    </w:pPr>
  </w:style>
  <w:style w:type="character" w:styleId="CommentReference">
    <w:name w:val="annotation reference"/>
    <w:basedOn w:val="DefaultParagraphFont"/>
    <w:uiPriority w:val="99"/>
    <w:semiHidden/>
    <w:unhideWhenUsed/>
    <w:rsid w:val="00F769D1"/>
    <w:rPr>
      <w:sz w:val="16"/>
      <w:szCs w:val="16"/>
    </w:rPr>
  </w:style>
  <w:style w:type="paragraph" w:styleId="CommentText">
    <w:name w:val="annotation text"/>
    <w:basedOn w:val="Normal"/>
    <w:link w:val="CommentTextChar"/>
    <w:uiPriority w:val="99"/>
    <w:semiHidden/>
    <w:unhideWhenUsed/>
    <w:rsid w:val="00F769D1"/>
    <w:pPr>
      <w:spacing w:line="240" w:lineRule="auto"/>
    </w:pPr>
    <w:rPr>
      <w:sz w:val="20"/>
      <w:szCs w:val="20"/>
    </w:rPr>
  </w:style>
  <w:style w:type="character" w:customStyle="1" w:styleId="CommentTextChar">
    <w:name w:val="Comment Text Char"/>
    <w:basedOn w:val="DefaultParagraphFont"/>
    <w:link w:val="CommentText"/>
    <w:uiPriority w:val="99"/>
    <w:semiHidden/>
    <w:rsid w:val="00F769D1"/>
    <w:rPr>
      <w:sz w:val="20"/>
      <w:szCs w:val="20"/>
    </w:rPr>
  </w:style>
  <w:style w:type="paragraph" w:styleId="CommentSubject">
    <w:name w:val="annotation subject"/>
    <w:basedOn w:val="CommentText"/>
    <w:next w:val="CommentText"/>
    <w:link w:val="CommentSubjectChar"/>
    <w:uiPriority w:val="99"/>
    <w:semiHidden/>
    <w:unhideWhenUsed/>
    <w:rsid w:val="00F769D1"/>
    <w:rPr>
      <w:b/>
      <w:bCs/>
    </w:rPr>
  </w:style>
  <w:style w:type="character" w:customStyle="1" w:styleId="CommentSubjectChar">
    <w:name w:val="Comment Subject Char"/>
    <w:basedOn w:val="CommentTextChar"/>
    <w:link w:val="CommentSubject"/>
    <w:uiPriority w:val="99"/>
    <w:semiHidden/>
    <w:rsid w:val="00F769D1"/>
    <w:rPr>
      <w:b/>
      <w:bCs/>
      <w:sz w:val="20"/>
      <w:szCs w:val="20"/>
    </w:rPr>
  </w:style>
  <w:style w:type="paragraph" w:styleId="BalloonText">
    <w:name w:val="Balloon Text"/>
    <w:basedOn w:val="Normal"/>
    <w:link w:val="BalloonTextChar"/>
    <w:uiPriority w:val="99"/>
    <w:semiHidden/>
    <w:unhideWhenUsed/>
    <w:rsid w:val="00F7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D1"/>
    <w:rPr>
      <w:rFonts w:ascii="Tahoma" w:hAnsi="Tahoma" w:cs="Tahoma"/>
      <w:sz w:val="16"/>
      <w:szCs w:val="16"/>
    </w:rPr>
  </w:style>
  <w:style w:type="character" w:customStyle="1" w:styleId="Heading3Char">
    <w:name w:val="Heading 3 Char"/>
    <w:basedOn w:val="DefaultParagraphFont"/>
    <w:link w:val="Heading3"/>
    <w:uiPriority w:val="9"/>
    <w:rsid w:val="00883D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1582"/>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D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14A"/>
    <w:rPr>
      <w:sz w:val="20"/>
      <w:szCs w:val="20"/>
    </w:rPr>
  </w:style>
  <w:style w:type="character" w:styleId="FootnoteReference">
    <w:name w:val="footnote reference"/>
    <w:basedOn w:val="DefaultParagraphFont"/>
    <w:uiPriority w:val="99"/>
    <w:semiHidden/>
    <w:unhideWhenUsed/>
    <w:rsid w:val="002D414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1C"/>
  </w:style>
  <w:style w:type="paragraph" w:styleId="Heading1">
    <w:name w:val="heading 1"/>
    <w:basedOn w:val="Normal"/>
    <w:next w:val="Normal"/>
    <w:link w:val="Heading1Char"/>
    <w:uiPriority w:val="9"/>
    <w:qFormat/>
    <w:rsid w:val="00911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D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15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4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1185E"/>
    <w:rPr>
      <w:color w:val="0000FF" w:themeColor="hyperlink"/>
      <w:u w:val="single"/>
    </w:rPr>
  </w:style>
  <w:style w:type="character" w:customStyle="1" w:styleId="Heading1Char">
    <w:name w:val="Heading 1 Char"/>
    <w:basedOn w:val="DefaultParagraphFont"/>
    <w:link w:val="Heading1"/>
    <w:uiPriority w:val="9"/>
    <w:rsid w:val="009118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8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185E"/>
    <w:pPr>
      <w:ind w:left="720"/>
      <w:contextualSpacing/>
    </w:pPr>
  </w:style>
  <w:style w:type="character" w:styleId="CommentReference">
    <w:name w:val="annotation reference"/>
    <w:basedOn w:val="DefaultParagraphFont"/>
    <w:uiPriority w:val="99"/>
    <w:semiHidden/>
    <w:unhideWhenUsed/>
    <w:rsid w:val="00F769D1"/>
    <w:rPr>
      <w:sz w:val="16"/>
      <w:szCs w:val="16"/>
    </w:rPr>
  </w:style>
  <w:style w:type="paragraph" w:styleId="CommentText">
    <w:name w:val="annotation text"/>
    <w:basedOn w:val="Normal"/>
    <w:link w:val="CommentTextChar"/>
    <w:uiPriority w:val="99"/>
    <w:semiHidden/>
    <w:unhideWhenUsed/>
    <w:rsid w:val="00F769D1"/>
    <w:pPr>
      <w:spacing w:line="240" w:lineRule="auto"/>
    </w:pPr>
    <w:rPr>
      <w:sz w:val="20"/>
      <w:szCs w:val="20"/>
    </w:rPr>
  </w:style>
  <w:style w:type="character" w:customStyle="1" w:styleId="CommentTextChar">
    <w:name w:val="Comment Text Char"/>
    <w:basedOn w:val="DefaultParagraphFont"/>
    <w:link w:val="CommentText"/>
    <w:uiPriority w:val="99"/>
    <w:semiHidden/>
    <w:rsid w:val="00F769D1"/>
    <w:rPr>
      <w:sz w:val="20"/>
      <w:szCs w:val="20"/>
    </w:rPr>
  </w:style>
  <w:style w:type="paragraph" w:styleId="CommentSubject">
    <w:name w:val="annotation subject"/>
    <w:basedOn w:val="CommentText"/>
    <w:next w:val="CommentText"/>
    <w:link w:val="CommentSubjectChar"/>
    <w:uiPriority w:val="99"/>
    <w:semiHidden/>
    <w:unhideWhenUsed/>
    <w:rsid w:val="00F769D1"/>
    <w:rPr>
      <w:b/>
      <w:bCs/>
    </w:rPr>
  </w:style>
  <w:style w:type="character" w:customStyle="1" w:styleId="CommentSubjectChar">
    <w:name w:val="Comment Subject Char"/>
    <w:basedOn w:val="CommentTextChar"/>
    <w:link w:val="CommentSubject"/>
    <w:uiPriority w:val="99"/>
    <w:semiHidden/>
    <w:rsid w:val="00F769D1"/>
    <w:rPr>
      <w:b/>
      <w:bCs/>
      <w:sz w:val="20"/>
      <w:szCs w:val="20"/>
    </w:rPr>
  </w:style>
  <w:style w:type="paragraph" w:styleId="BalloonText">
    <w:name w:val="Balloon Text"/>
    <w:basedOn w:val="Normal"/>
    <w:link w:val="BalloonTextChar"/>
    <w:uiPriority w:val="99"/>
    <w:semiHidden/>
    <w:unhideWhenUsed/>
    <w:rsid w:val="00F7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D1"/>
    <w:rPr>
      <w:rFonts w:ascii="Tahoma" w:hAnsi="Tahoma" w:cs="Tahoma"/>
      <w:sz w:val="16"/>
      <w:szCs w:val="16"/>
    </w:rPr>
  </w:style>
  <w:style w:type="character" w:customStyle="1" w:styleId="Heading3Char">
    <w:name w:val="Heading 3 Char"/>
    <w:basedOn w:val="DefaultParagraphFont"/>
    <w:link w:val="Heading3"/>
    <w:uiPriority w:val="9"/>
    <w:rsid w:val="00883D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1582"/>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D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14A"/>
    <w:rPr>
      <w:sz w:val="20"/>
      <w:szCs w:val="20"/>
    </w:rPr>
  </w:style>
  <w:style w:type="character" w:styleId="FootnoteReference">
    <w:name w:val="footnote reference"/>
    <w:basedOn w:val="DefaultParagraphFont"/>
    <w:uiPriority w:val="99"/>
    <w:semiHidden/>
    <w:unhideWhenUsed/>
    <w:rsid w:val="002D41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vn.mi.mathworks.com/general_psp/HighIntegrityWorks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154EE-FAA7-4BA9-B22D-09DFF7A5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8</Pages>
  <Words>1870</Words>
  <Characters>10661</Characters>
  <Application>Microsoft Office Word</Application>
  <DocSecurity>0</DocSecurity>
  <Lines>88</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MathWorks</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Sauvage</dc:creator>
  <cp:lastModifiedBy>Sylvain Sauvage</cp:lastModifiedBy>
  <cp:revision>52</cp:revision>
  <dcterms:created xsi:type="dcterms:W3CDTF">2013-01-10T15:54:00Z</dcterms:created>
  <dcterms:modified xsi:type="dcterms:W3CDTF">2013-07-12T08:39:00Z</dcterms:modified>
</cp:coreProperties>
</file>