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7A3A2" w14:textId="77777777" w:rsidR="00D34BFF" w:rsidRPr="00170DCE" w:rsidRDefault="00D34BFF" w:rsidP="00170DCE">
      <w:pPr>
        <w:jc w:val="center"/>
        <w:rPr>
          <w:rFonts w:ascii="Times New Roman" w:hAnsi="Times New Roman" w:cs="Times New Roman"/>
          <w:sz w:val="28"/>
          <w:szCs w:val="28"/>
        </w:rPr>
      </w:pPr>
      <w:r w:rsidRPr="00170DCE">
        <w:rPr>
          <w:rFonts w:ascii="Times New Roman" w:hAnsi="Times New Roman" w:cs="Times New Roman"/>
          <w:sz w:val="28"/>
          <w:szCs w:val="28"/>
        </w:rPr>
        <w:t>Prediction of Asset Credit Rating Model of Listed Companies</w:t>
      </w:r>
    </w:p>
    <w:p w14:paraId="286D682D" w14:textId="77777777" w:rsidR="00D34BFF" w:rsidRPr="00170DCE" w:rsidRDefault="00D34BFF" w:rsidP="00D34BFF">
      <w:pPr>
        <w:rPr>
          <w:rFonts w:ascii="Times New Roman" w:hAnsi="Times New Roman" w:cs="Times New Roman"/>
        </w:rPr>
      </w:pPr>
    </w:p>
    <w:p w14:paraId="08425686" w14:textId="77777777" w:rsidR="00D34BFF" w:rsidRPr="00170DCE" w:rsidRDefault="00D34BFF" w:rsidP="00D34BFF">
      <w:pPr>
        <w:rPr>
          <w:rFonts w:ascii="Times New Roman" w:hAnsi="Times New Roman" w:cs="Times New Roman"/>
          <w:b/>
          <w:bCs/>
        </w:rPr>
      </w:pPr>
      <w:r w:rsidRPr="00170DCE">
        <w:rPr>
          <w:rFonts w:ascii="Times New Roman" w:hAnsi="Times New Roman" w:cs="Times New Roman"/>
          <w:b/>
          <w:bCs/>
        </w:rPr>
        <w:t>1. Goal</w:t>
      </w:r>
    </w:p>
    <w:p w14:paraId="73FE13CA"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Create well-performing models to accurately predict and classify the asset credit ratings of listed companies</w:t>
      </w:r>
    </w:p>
    <w:p w14:paraId="754A26AA" w14:textId="77777777" w:rsidR="00D34BFF" w:rsidRPr="00170DCE" w:rsidRDefault="00D34BFF" w:rsidP="00D34BFF">
      <w:pPr>
        <w:rPr>
          <w:rFonts w:ascii="Times New Roman" w:hAnsi="Times New Roman" w:cs="Times New Roman"/>
        </w:rPr>
      </w:pPr>
    </w:p>
    <w:p w14:paraId="38BA3262" w14:textId="77777777" w:rsidR="00D34BFF" w:rsidRPr="00170DCE" w:rsidRDefault="00D34BFF" w:rsidP="00D34BFF">
      <w:pPr>
        <w:rPr>
          <w:rFonts w:ascii="Times New Roman" w:hAnsi="Times New Roman" w:cs="Times New Roman"/>
          <w:b/>
          <w:bCs/>
        </w:rPr>
      </w:pPr>
      <w:r w:rsidRPr="00170DCE">
        <w:rPr>
          <w:rFonts w:ascii="Times New Roman" w:hAnsi="Times New Roman" w:cs="Times New Roman"/>
          <w:b/>
          <w:bCs/>
        </w:rPr>
        <w:t>2. Algorithm</w:t>
      </w:r>
    </w:p>
    <w:p w14:paraId="5A2B9F5C"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The model that predicts and classifies whether the rating will decline, considers the two-category label, that is, the rating is reduced from high to "1", and if the previous condition is not met, it is "0". Establish a series of algorithm models, such as decision trees, random forests, gradient boosting trees, and logistic regression, draw ROC (trainee test curve) graphs, calculate the AUC area of ​​the model, and compare the AUC area to determine the best performance Model and put it into use</w:t>
      </w:r>
    </w:p>
    <w:p w14:paraId="568D6A62" w14:textId="77777777" w:rsidR="00D34BFF" w:rsidRPr="00170DCE" w:rsidRDefault="00D34BFF" w:rsidP="00D34BFF">
      <w:pPr>
        <w:rPr>
          <w:rFonts w:ascii="Times New Roman" w:hAnsi="Times New Roman" w:cs="Times New Roman"/>
        </w:rPr>
      </w:pPr>
    </w:p>
    <w:p w14:paraId="0A3702E7" w14:textId="77777777" w:rsidR="00D34BFF" w:rsidRPr="00170DCE" w:rsidRDefault="00D34BFF" w:rsidP="00D34BFF">
      <w:pPr>
        <w:rPr>
          <w:rFonts w:ascii="Times New Roman" w:hAnsi="Times New Roman" w:cs="Times New Roman"/>
          <w:b/>
          <w:bCs/>
        </w:rPr>
      </w:pPr>
      <w:r w:rsidRPr="00170DCE">
        <w:rPr>
          <w:rFonts w:ascii="Times New Roman" w:hAnsi="Times New Roman" w:cs="Times New Roman"/>
          <w:b/>
          <w:bCs/>
        </w:rPr>
        <w:t>3. Data analysis</w:t>
      </w:r>
    </w:p>
    <w:p w14:paraId="7B770E76" w14:textId="77777777" w:rsidR="00D34BFF" w:rsidRPr="00170DCE" w:rsidRDefault="00D34BFF" w:rsidP="00D34BFF">
      <w:pPr>
        <w:rPr>
          <w:rFonts w:ascii="Times New Roman" w:hAnsi="Times New Roman" w:cs="Times New Roman"/>
          <w:i/>
          <w:iCs/>
        </w:rPr>
      </w:pPr>
      <w:r w:rsidRPr="00170DCE">
        <w:rPr>
          <w:rFonts w:ascii="Cambria Math" w:hAnsi="Cambria Math" w:cs="Cambria Math"/>
          <w:i/>
          <w:iCs/>
        </w:rPr>
        <w:t>①</w:t>
      </w:r>
      <w:r w:rsidRPr="00170DCE">
        <w:rPr>
          <w:rFonts w:ascii="Times New Roman" w:hAnsi="Times New Roman" w:cs="Times New Roman"/>
          <w:i/>
          <w:iCs/>
        </w:rPr>
        <w:t>Factor acquisition</w:t>
      </w:r>
    </w:p>
    <w:p w14:paraId="2172CE10"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xml:space="preserve">Obtain the financial statement information of the original 7 source listed </w:t>
      </w:r>
      <w:proofErr w:type="gramStart"/>
      <w:r w:rsidRPr="00170DCE">
        <w:rPr>
          <w:rFonts w:ascii="Times New Roman" w:hAnsi="Times New Roman" w:cs="Times New Roman"/>
        </w:rPr>
        <w:t>companies, and</w:t>
      </w:r>
      <w:proofErr w:type="gramEnd"/>
      <w:r w:rsidRPr="00170DCE">
        <w:rPr>
          <w:rFonts w:ascii="Times New Roman" w:hAnsi="Times New Roman" w:cs="Times New Roman"/>
        </w:rPr>
        <w:t xml:space="preserve"> find the relevant modeling factors according to the </w:t>
      </w:r>
      <w:proofErr w:type="spellStart"/>
      <w:r w:rsidRPr="00170DCE">
        <w:rPr>
          <w:rFonts w:ascii="Times New Roman" w:hAnsi="Times New Roman" w:cs="Times New Roman"/>
        </w:rPr>
        <w:t>Beneish</w:t>
      </w:r>
      <w:proofErr w:type="spellEnd"/>
      <w:r w:rsidRPr="00170DCE">
        <w:rPr>
          <w:rFonts w:ascii="Times New Roman" w:hAnsi="Times New Roman" w:cs="Times New Roman"/>
        </w:rPr>
        <w:t xml:space="preserve"> M-Score model and the F-Score model. Each factor is as follows:</w:t>
      </w:r>
    </w:p>
    <w:p w14:paraId="4C5805C4"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DSR: Accounts Receivable Amount Index</w:t>
      </w:r>
    </w:p>
    <w:p w14:paraId="67E214C1"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GMI: Gross Margin Index</w:t>
      </w:r>
    </w:p>
    <w:p w14:paraId="6743272C"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AQI: Intangible Assets Percentage Index</w:t>
      </w:r>
    </w:p>
    <w:p w14:paraId="1642B4E1"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SGI: Sales Growth Rate Index</w:t>
      </w:r>
    </w:p>
    <w:p w14:paraId="1821D2D0"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SGAI: Sales Administration Proportion Index</w:t>
      </w:r>
    </w:p>
    <w:p w14:paraId="64A13C71"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LGVI: Leverage Ratio Index</w:t>
      </w:r>
    </w:p>
    <w:p w14:paraId="1898B4D0"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TATA: Cash Flow Accrual Index</w:t>
      </w:r>
    </w:p>
    <w:p w14:paraId="355D4968"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DEPI: Depreciation rate index</w:t>
      </w:r>
    </w:p>
    <w:p w14:paraId="56D5FD50"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ROC: Liquid Assets Proportion Index</w:t>
      </w:r>
    </w:p>
    <w:p w14:paraId="6A63BA6E"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ROL: Ratio of assets and liabilities</w:t>
      </w:r>
    </w:p>
    <w:p w14:paraId="0EF3FC09"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ROS: Percentage of flexible assets</w:t>
      </w:r>
    </w:p>
    <w:p w14:paraId="4118923A"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ROA: asset share</w:t>
      </w:r>
    </w:p>
    <w:p w14:paraId="66AE944F"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Revenue: the company’s gross revenue</w:t>
      </w:r>
    </w:p>
    <w:p w14:paraId="527C815A"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TOT_SIZE_ASSETS: company capital scale</w:t>
      </w:r>
    </w:p>
    <w:p w14:paraId="0D7B2DB1"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lastRenderedPageBreak/>
        <w:t xml:space="preserve">• </w:t>
      </w:r>
      <w:proofErr w:type="spellStart"/>
      <w:r w:rsidRPr="00170DCE">
        <w:rPr>
          <w:rFonts w:ascii="Times New Roman" w:hAnsi="Times New Roman" w:cs="Times New Roman"/>
        </w:rPr>
        <w:t>TOT_Profit_label</w:t>
      </w:r>
      <w:proofErr w:type="spellEnd"/>
      <w:r w:rsidRPr="00170DCE">
        <w:rPr>
          <w:rFonts w:ascii="Times New Roman" w:hAnsi="Times New Roman" w:cs="Times New Roman"/>
        </w:rPr>
        <w:t>: company gross profit index</w:t>
      </w:r>
    </w:p>
    <w:p w14:paraId="4994AA87" w14:textId="77777777" w:rsidR="00D34BFF" w:rsidRPr="00170DCE" w:rsidRDefault="00D34BFF" w:rsidP="00D34BFF">
      <w:pPr>
        <w:rPr>
          <w:rFonts w:ascii="Times New Roman" w:hAnsi="Times New Roman" w:cs="Times New Roman"/>
          <w:i/>
          <w:iCs/>
        </w:rPr>
      </w:pPr>
      <w:r w:rsidRPr="00170DCE">
        <w:rPr>
          <w:rFonts w:ascii="Cambria Math" w:hAnsi="Cambria Math" w:cs="Cambria Math"/>
          <w:i/>
          <w:iCs/>
        </w:rPr>
        <w:t>②</w:t>
      </w:r>
      <w:r w:rsidRPr="00170DCE">
        <w:rPr>
          <w:rFonts w:ascii="Times New Roman" w:hAnsi="Times New Roman" w:cs="Times New Roman"/>
          <w:i/>
          <w:iCs/>
        </w:rPr>
        <w:t>Label establishment</w:t>
      </w:r>
    </w:p>
    <w:p w14:paraId="675EE4F7"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Obtain the source rating table of listed companies and search for listed companies whose ratings were AAA or above in the previous year and dropped below AAA in the next year. If the conditions are met, give the label ‘1’, otherwise the label is ‘0’</w:t>
      </w:r>
    </w:p>
    <w:p w14:paraId="3E82D576" w14:textId="77777777" w:rsidR="00D34BFF" w:rsidRPr="00170DCE" w:rsidRDefault="00D34BFF" w:rsidP="00D34BFF">
      <w:pPr>
        <w:rPr>
          <w:rFonts w:ascii="Times New Roman" w:hAnsi="Times New Roman" w:cs="Times New Roman"/>
          <w:i/>
          <w:iCs/>
        </w:rPr>
      </w:pPr>
      <w:r w:rsidRPr="00170DCE">
        <w:rPr>
          <w:rFonts w:ascii="Cambria Math" w:hAnsi="Cambria Math" w:cs="Cambria Math"/>
          <w:i/>
          <w:iCs/>
        </w:rPr>
        <w:t>③</w:t>
      </w:r>
      <w:r w:rsidRPr="00170DCE">
        <w:rPr>
          <w:rFonts w:ascii="Times New Roman" w:hAnsi="Times New Roman" w:cs="Times New Roman"/>
          <w:i/>
          <w:iCs/>
        </w:rPr>
        <w:t>Data cleaning &amp; preprocessing</w:t>
      </w:r>
    </w:p>
    <w:p w14:paraId="3C43E1C4"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xml:space="preserve">After obtaining all the factor and label tables through the two steps of </w:t>
      </w:r>
      <w:r w:rsidRPr="00170DCE">
        <w:rPr>
          <w:rFonts w:ascii="Cambria Math" w:hAnsi="Cambria Math" w:cs="Cambria Math"/>
        </w:rPr>
        <w:t>①②</w:t>
      </w:r>
      <w:r w:rsidRPr="00170DCE">
        <w:rPr>
          <w:rFonts w:ascii="Times New Roman" w:hAnsi="Times New Roman" w:cs="Times New Roman"/>
        </w:rPr>
        <w:t>, filter out the factor items with a null value rate of more than 80% and remove them, and use the median filling method to remove the null values ​​for the remaining null rate factor items. Finally get a table with no missing values</w:t>
      </w:r>
    </w:p>
    <w:p w14:paraId="1338E423" w14:textId="77777777" w:rsidR="00D34BFF" w:rsidRPr="00170DCE" w:rsidRDefault="00D34BFF" w:rsidP="00D34BFF">
      <w:pPr>
        <w:rPr>
          <w:rFonts w:ascii="Times New Roman" w:hAnsi="Times New Roman" w:cs="Times New Roman"/>
        </w:rPr>
      </w:pPr>
    </w:p>
    <w:p w14:paraId="0894D495" w14:textId="77777777" w:rsidR="00D34BFF" w:rsidRPr="00170DCE" w:rsidRDefault="00D34BFF" w:rsidP="00D34BFF">
      <w:pPr>
        <w:rPr>
          <w:rFonts w:ascii="Times New Roman" w:hAnsi="Times New Roman" w:cs="Times New Roman"/>
          <w:b/>
          <w:bCs/>
        </w:rPr>
      </w:pPr>
      <w:r w:rsidRPr="00170DCE">
        <w:rPr>
          <w:rFonts w:ascii="Times New Roman" w:hAnsi="Times New Roman" w:cs="Times New Roman"/>
          <w:b/>
          <w:bCs/>
        </w:rPr>
        <w:t>4. Model creation and analysis</w:t>
      </w:r>
    </w:p>
    <w:p w14:paraId="50ABFEA4" w14:textId="77777777" w:rsidR="00D34BFF" w:rsidRPr="00170DCE" w:rsidRDefault="00D34BFF" w:rsidP="00D34BFF">
      <w:pPr>
        <w:rPr>
          <w:rFonts w:ascii="Times New Roman" w:hAnsi="Times New Roman" w:cs="Times New Roman"/>
        </w:rPr>
      </w:pPr>
      <w:r w:rsidRPr="00170DCE">
        <w:rPr>
          <w:rFonts w:ascii="Times New Roman" w:hAnsi="Times New Roman" w:cs="Times New Roman"/>
        </w:rPr>
        <w:t xml:space="preserve">Refer to the </w:t>
      </w:r>
      <w:proofErr w:type="gramStart"/>
      <w:r w:rsidRPr="00170DCE">
        <w:rPr>
          <w:rFonts w:ascii="Times New Roman" w:hAnsi="Times New Roman" w:cs="Times New Roman"/>
        </w:rPr>
        <w:t>two classification</w:t>
      </w:r>
      <w:proofErr w:type="gramEnd"/>
      <w:r w:rsidRPr="00170DCE">
        <w:rPr>
          <w:rFonts w:ascii="Times New Roman" w:hAnsi="Times New Roman" w:cs="Times New Roman"/>
        </w:rPr>
        <w:t xml:space="preserve"> algorithm, establish a series of classification models, draw ROC curve and calculate AUC area. The usage model and corresponding ROC curve are as follows:</w:t>
      </w:r>
    </w:p>
    <w:p w14:paraId="7154C15A" w14:textId="77777777" w:rsidR="00D34BFF" w:rsidRPr="00170DCE" w:rsidRDefault="00D34BFF" w:rsidP="00D34BFF">
      <w:pPr>
        <w:rPr>
          <w:rFonts w:ascii="Times New Roman" w:hAnsi="Times New Roman" w:cs="Times New Roman"/>
          <w:i/>
          <w:iCs/>
        </w:rPr>
      </w:pPr>
      <w:r w:rsidRPr="00170DCE">
        <w:rPr>
          <w:rFonts w:ascii="Cambria Math" w:hAnsi="Cambria Math" w:cs="Cambria Math"/>
          <w:i/>
          <w:iCs/>
        </w:rPr>
        <w:t>①</w:t>
      </w:r>
      <w:r w:rsidRPr="00170DCE">
        <w:rPr>
          <w:rFonts w:ascii="Times New Roman" w:hAnsi="Times New Roman" w:cs="Times New Roman"/>
          <w:i/>
          <w:iCs/>
        </w:rPr>
        <w:t xml:space="preserve"> Decision tree model (</w:t>
      </w:r>
      <w:proofErr w:type="spellStart"/>
      <w:r w:rsidRPr="00170DCE">
        <w:rPr>
          <w:rFonts w:ascii="Times New Roman" w:hAnsi="Times New Roman" w:cs="Times New Roman"/>
          <w:i/>
          <w:iCs/>
        </w:rPr>
        <w:t>DecisionTree</w:t>
      </w:r>
      <w:proofErr w:type="spellEnd"/>
      <w:r w:rsidRPr="00170DCE">
        <w:rPr>
          <w:rFonts w:ascii="Times New Roman" w:hAnsi="Times New Roman" w:cs="Times New Roman"/>
          <w:i/>
          <w:iCs/>
        </w:rPr>
        <w:t>)</w:t>
      </w:r>
    </w:p>
    <w:p w14:paraId="5B8A897D" w14:textId="7DE4719B" w:rsidR="00D34BFF" w:rsidRPr="00170DCE" w:rsidRDefault="00D34BFF" w:rsidP="00D34BFF">
      <w:pPr>
        <w:rPr>
          <w:rFonts w:ascii="Times New Roman" w:hAnsi="Times New Roman" w:cs="Times New Roman"/>
        </w:rPr>
      </w:pPr>
      <w:r w:rsidRPr="00170DCE">
        <w:rPr>
          <w:rFonts w:ascii="Times New Roman" w:hAnsi="Times New Roman" w:cs="Times New Roman"/>
        </w:rPr>
        <w:t xml:space="preserve"> </w:t>
      </w:r>
      <w:r w:rsidRPr="00170DCE">
        <w:rPr>
          <w:rFonts w:ascii="Times New Roman" w:hAnsi="Times New Roman" w:cs="Times New Roman"/>
          <w:noProof/>
        </w:rPr>
        <w:drawing>
          <wp:inline distT="0" distB="0" distL="0" distR="0" wp14:anchorId="3FE75287" wp14:editId="0A8FBA73">
            <wp:extent cx="5943600" cy="2919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14:paraId="6CC95A8C" w14:textId="77777777" w:rsidR="00D34BFF" w:rsidRPr="00170DCE" w:rsidRDefault="00D34BFF" w:rsidP="00D34BFF">
      <w:pPr>
        <w:jc w:val="center"/>
        <w:rPr>
          <w:rFonts w:ascii="Times New Roman" w:hAnsi="Times New Roman" w:cs="Times New Roman"/>
        </w:rPr>
      </w:pPr>
      <w:r w:rsidRPr="00170DCE">
        <w:rPr>
          <w:rFonts w:ascii="Times New Roman" w:hAnsi="Times New Roman" w:cs="Times New Roman"/>
        </w:rPr>
        <w:t>AUC=0.58</w:t>
      </w:r>
    </w:p>
    <w:p w14:paraId="03A39A69" w14:textId="77777777" w:rsidR="00D34BFF" w:rsidRPr="00170DCE" w:rsidRDefault="00D34BFF" w:rsidP="00D34BFF">
      <w:pPr>
        <w:rPr>
          <w:rFonts w:ascii="Times New Roman" w:hAnsi="Times New Roman" w:cs="Times New Roman"/>
          <w:i/>
          <w:iCs/>
        </w:rPr>
      </w:pPr>
      <w:r w:rsidRPr="00170DCE">
        <w:rPr>
          <w:rFonts w:ascii="Cambria Math" w:hAnsi="Cambria Math" w:cs="Cambria Math"/>
          <w:i/>
          <w:iCs/>
        </w:rPr>
        <w:t>②</w:t>
      </w:r>
      <w:r w:rsidRPr="00170DCE">
        <w:rPr>
          <w:rFonts w:ascii="Times New Roman" w:hAnsi="Times New Roman" w:cs="Times New Roman"/>
          <w:i/>
          <w:iCs/>
        </w:rPr>
        <w:t>Random Forest Model (</w:t>
      </w:r>
      <w:proofErr w:type="spellStart"/>
      <w:r w:rsidRPr="00170DCE">
        <w:rPr>
          <w:rFonts w:ascii="Times New Roman" w:hAnsi="Times New Roman" w:cs="Times New Roman"/>
          <w:i/>
          <w:iCs/>
        </w:rPr>
        <w:t>RandomForest</w:t>
      </w:r>
      <w:proofErr w:type="spellEnd"/>
      <w:r w:rsidRPr="00170DCE">
        <w:rPr>
          <w:rFonts w:ascii="Times New Roman" w:hAnsi="Times New Roman" w:cs="Times New Roman"/>
          <w:i/>
          <w:iCs/>
        </w:rPr>
        <w:t>)</w:t>
      </w:r>
    </w:p>
    <w:p w14:paraId="366750D6" w14:textId="498582DC" w:rsidR="00D34BFF" w:rsidRPr="00170DCE" w:rsidRDefault="00D34BFF" w:rsidP="00D34BFF">
      <w:pPr>
        <w:rPr>
          <w:rFonts w:ascii="Times New Roman" w:hAnsi="Times New Roman" w:cs="Times New Roman"/>
        </w:rPr>
      </w:pPr>
      <w:r w:rsidRPr="00170DCE">
        <w:rPr>
          <w:rFonts w:ascii="Times New Roman" w:hAnsi="Times New Roman" w:cs="Times New Roman"/>
        </w:rPr>
        <w:lastRenderedPageBreak/>
        <w:t xml:space="preserve"> </w:t>
      </w:r>
      <w:r w:rsidRPr="00170DCE">
        <w:rPr>
          <w:rFonts w:ascii="Times New Roman" w:hAnsi="Times New Roman" w:cs="Times New Roman"/>
          <w:noProof/>
        </w:rPr>
        <w:drawing>
          <wp:inline distT="0" distB="0" distL="0" distR="0" wp14:anchorId="21F9FF7A" wp14:editId="4DD084F5">
            <wp:extent cx="5943600" cy="2919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14:paraId="3494FF67" w14:textId="77777777" w:rsidR="00D34BFF" w:rsidRPr="00170DCE" w:rsidRDefault="00D34BFF" w:rsidP="00D34BFF">
      <w:pPr>
        <w:jc w:val="center"/>
        <w:rPr>
          <w:rFonts w:ascii="Times New Roman" w:hAnsi="Times New Roman" w:cs="Times New Roman"/>
        </w:rPr>
      </w:pPr>
      <w:r w:rsidRPr="00170DCE">
        <w:rPr>
          <w:rFonts w:ascii="Times New Roman" w:hAnsi="Times New Roman" w:cs="Times New Roman"/>
        </w:rPr>
        <w:t>AUC=0.72</w:t>
      </w:r>
    </w:p>
    <w:p w14:paraId="5316EE34" w14:textId="77777777" w:rsidR="00D34BFF" w:rsidRPr="00170DCE" w:rsidRDefault="00D34BFF" w:rsidP="00D34BFF">
      <w:pPr>
        <w:rPr>
          <w:rFonts w:ascii="Times New Roman" w:hAnsi="Times New Roman" w:cs="Times New Roman"/>
          <w:i/>
          <w:iCs/>
        </w:rPr>
      </w:pPr>
      <w:r w:rsidRPr="00170DCE">
        <w:rPr>
          <w:rFonts w:ascii="Cambria Math" w:hAnsi="Cambria Math" w:cs="Cambria Math"/>
          <w:i/>
          <w:iCs/>
        </w:rPr>
        <w:t>③</w:t>
      </w:r>
      <w:r w:rsidRPr="00170DCE">
        <w:rPr>
          <w:rFonts w:ascii="Times New Roman" w:hAnsi="Times New Roman" w:cs="Times New Roman"/>
          <w:i/>
          <w:iCs/>
        </w:rPr>
        <w:t>Gradient Boosting Decision Tree Model (GBDT)</w:t>
      </w:r>
    </w:p>
    <w:p w14:paraId="31BD2E4A" w14:textId="3866B781" w:rsidR="00D34BFF" w:rsidRPr="00170DCE" w:rsidRDefault="00D34BFF" w:rsidP="00D34BFF">
      <w:pPr>
        <w:rPr>
          <w:rFonts w:ascii="Times New Roman" w:hAnsi="Times New Roman" w:cs="Times New Roman"/>
        </w:rPr>
      </w:pPr>
      <w:r w:rsidRPr="00170DCE">
        <w:rPr>
          <w:rFonts w:ascii="Times New Roman" w:hAnsi="Times New Roman" w:cs="Times New Roman"/>
        </w:rPr>
        <w:t xml:space="preserve"> </w:t>
      </w:r>
      <w:r w:rsidRPr="00170DCE">
        <w:rPr>
          <w:rFonts w:ascii="Times New Roman" w:hAnsi="Times New Roman" w:cs="Times New Roman"/>
          <w:noProof/>
        </w:rPr>
        <w:drawing>
          <wp:inline distT="0" distB="0" distL="0" distR="0" wp14:anchorId="579AB085" wp14:editId="3EB428E1">
            <wp:extent cx="5943600" cy="2919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14:paraId="41A587DA" w14:textId="77777777" w:rsidR="00D34BFF" w:rsidRPr="00170DCE" w:rsidRDefault="00D34BFF" w:rsidP="00D34BFF">
      <w:pPr>
        <w:jc w:val="center"/>
        <w:rPr>
          <w:rFonts w:ascii="Times New Roman" w:hAnsi="Times New Roman" w:cs="Times New Roman"/>
        </w:rPr>
      </w:pPr>
      <w:r w:rsidRPr="00170DCE">
        <w:rPr>
          <w:rFonts w:ascii="Times New Roman" w:hAnsi="Times New Roman" w:cs="Times New Roman"/>
        </w:rPr>
        <w:t>AUC=0.62</w:t>
      </w:r>
    </w:p>
    <w:p w14:paraId="06598E2A" w14:textId="77777777" w:rsidR="00D34BFF" w:rsidRPr="00170DCE" w:rsidRDefault="00D34BFF" w:rsidP="00D34BFF">
      <w:pPr>
        <w:rPr>
          <w:rFonts w:ascii="Times New Roman" w:hAnsi="Times New Roman" w:cs="Times New Roman"/>
          <w:i/>
          <w:iCs/>
        </w:rPr>
      </w:pPr>
      <w:r w:rsidRPr="00170DCE">
        <w:rPr>
          <w:rFonts w:ascii="Cambria Math" w:hAnsi="Cambria Math" w:cs="Cambria Math"/>
          <w:i/>
          <w:iCs/>
        </w:rPr>
        <w:t>④</w:t>
      </w:r>
      <w:r w:rsidRPr="00170DCE">
        <w:rPr>
          <w:rFonts w:ascii="Times New Roman" w:hAnsi="Times New Roman" w:cs="Times New Roman"/>
          <w:i/>
          <w:iCs/>
        </w:rPr>
        <w:t xml:space="preserve"> Logistic regression model (</w:t>
      </w:r>
      <w:proofErr w:type="spellStart"/>
      <w:r w:rsidRPr="00170DCE">
        <w:rPr>
          <w:rFonts w:ascii="Times New Roman" w:hAnsi="Times New Roman" w:cs="Times New Roman"/>
          <w:i/>
          <w:iCs/>
        </w:rPr>
        <w:t>LogisticsRegression</w:t>
      </w:r>
      <w:proofErr w:type="spellEnd"/>
      <w:r w:rsidRPr="00170DCE">
        <w:rPr>
          <w:rFonts w:ascii="Times New Roman" w:hAnsi="Times New Roman" w:cs="Times New Roman"/>
          <w:i/>
          <w:iCs/>
        </w:rPr>
        <w:t>)</w:t>
      </w:r>
    </w:p>
    <w:p w14:paraId="34AF9E2D" w14:textId="32BFFE1C" w:rsidR="00D34BFF" w:rsidRPr="00170DCE" w:rsidRDefault="00D34BFF" w:rsidP="00D34BFF">
      <w:pPr>
        <w:rPr>
          <w:rFonts w:ascii="Times New Roman" w:hAnsi="Times New Roman" w:cs="Times New Roman"/>
        </w:rPr>
      </w:pPr>
      <w:r w:rsidRPr="00170DCE">
        <w:rPr>
          <w:rFonts w:ascii="Times New Roman" w:hAnsi="Times New Roman" w:cs="Times New Roman"/>
        </w:rPr>
        <w:lastRenderedPageBreak/>
        <w:t xml:space="preserve"> </w:t>
      </w:r>
      <w:r w:rsidRPr="00170DCE">
        <w:rPr>
          <w:rFonts w:ascii="Times New Roman" w:hAnsi="Times New Roman" w:cs="Times New Roman"/>
          <w:noProof/>
        </w:rPr>
        <w:drawing>
          <wp:inline distT="0" distB="0" distL="0" distR="0" wp14:anchorId="0A84486C" wp14:editId="2A907245">
            <wp:extent cx="5943600" cy="2919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14:paraId="5053F1AC" w14:textId="77777777" w:rsidR="00D34BFF" w:rsidRPr="00170DCE" w:rsidRDefault="00D34BFF" w:rsidP="00D34BFF">
      <w:pPr>
        <w:jc w:val="center"/>
        <w:rPr>
          <w:rFonts w:ascii="Times New Roman" w:hAnsi="Times New Roman" w:cs="Times New Roman"/>
        </w:rPr>
      </w:pPr>
      <w:r w:rsidRPr="00170DCE">
        <w:rPr>
          <w:rFonts w:ascii="Times New Roman" w:hAnsi="Times New Roman" w:cs="Times New Roman"/>
        </w:rPr>
        <w:t>AUC=0.81</w:t>
      </w:r>
    </w:p>
    <w:p w14:paraId="3F6B3EB5" w14:textId="77777777" w:rsidR="00D34BFF" w:rsidRPr="00170DCE" w:rsidRDefault="00D34BFF" w:rsidP="00D34BFF">
      <w:pPr>
        <w:rPr>
          <w:rFonts w:ascii="Times New Roman" w:hAnsi="Times New Roman" w:cs="Times New Roman"/>
          <w:i/>
          <w:iCs/>
        </w:rPr>
      </w:pPr>
      <w:r w:rsidRPr="00170DCE">
        <w:rPr>
          <w:rFonts w:ascii="Cambria Math" w:hAnsi="Cambria Math" w:cs="Cambria Math"/>
          <w:i/>
          <w:iCs/>
        </w:rPr>
        <w:t>⑤</w:t>
      </w:r>
      <w:r w:rsidRPr="00170DCE">
        <w:rPr>
          <w:rFonts w:ascii="Times New Roman" w:hAnsi="Times New Roman" w:cs="Times New Roman"/>
          <w:i/>
          <w:iCs/>
        </w:rPr>
        <w:t xml:space="preserve"> </w:t>
      </w:r>
      <w:proofErr w:type="spellStart"/>
      <w:r w:rsidRPr="00170DCE">
        <w:rPr>
          <w:rFonts w:ascii="Times New Roman" w:hAnsi="Times New Roman" w:cs="Times New Roman"/>
          <w:i/>
          <w:iCs/>
        </w:rPr>
        <w:t>XGBoost</w:t>
      </w:r>
      <w:proofErr w:type="spellEnd"/>
      <w:r w:rsidRPr="00170DCE">
        <w:rPr>
          <w:rFonts w:ascii="Times New Roman" w:hAnsi="Times New Roman" w:cs="Times New Roman"/>
          <w:i/>
          <w:iCs/>
        </w:rPr>
        <w:t xml:space="preserve"> tree model</w:t>
      </w:r>
    </w:p>
    <w:p w14:paraId="10517CD3" w14:textId="47A16B1A" w:rsidR="00D34BFF" w:rsidRPr="00170DCE" w:rsidRDefault="00D34BFF" w:rsidP="00D34BFF">
      <w:pPr>
        <w:rPr>
          <w:rFonts w:ascii="Times New Roman" w:hAnsi="Times New Roman" w:cs="Times New Roman"/>
        </w:rPr>
      </w:pPr>
      <w:r w:rsidRPr="00170DCE">
        <w:rPr>
          <w:rFonts w:ascii="Times New Roman" w:hAnsi="Times New Roman" w:cs="Times New Roman"/>
        </w:rPr>
        <w:t xml:space="preserve"> </w:t>
      </w:r>
      <w:r w:rsidRPr="00170DCE">
        <w:rPr>
          <w:rFonts w:ascii="Times New Roman" w:hAnsi="Times New Roman" w:cs="Times New Roman"/>
          <w:noProof/>
        </w:rPr>
        <w:drawing>
          <wp:inline distT="0" distB="0" distL="0" distR="0" wp14:anchorId="1696A362" wp14:editId="5A93D7E0">
            <wp:extent cx="5943600" cy="2919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14:paraId="212E60AE" w14:textId="77777777" w:rsidR="00D34BFF" w:rsidRPr="00170DCE" w:rsidRDefault="00D34BFF" w:rsidP="00D34BFF">
      <w:pPr>
        <w:jc w:val="center"/>
        <w:rPr>
          <w:rFonts w:ascii="Times New Roman" w:hAnsi="Times New Roman" w:cs="Times New Roman"/>
        </w:rPr>
      </w:pPr>
      <w:r w:rsidRPr="00170DCE">
        <w:rPr>
          <w:rFonts w:ascii="Times New Roman" w:hAnsi="Times New Roman" w:cs="Times New Roman"/>
        </w:rPr>
        <w:t>AUC=0.74</w:t>
      </w:r>
    </w:p>
    <w:p w14:paraId="0B3FA544" w14:textId="77777777" w:rsidR="00D34BFF" w:rsidRPr="00170DCE" w:rsidRDefault="00D34BFF" w:rsidP="00D34BFF">
      <w:pPr>
        <w:rPr>
          <w:rFonts w:ascii="Times New Roman" w:hAnsi="Times New Roman" w:cs="Times New Roman"/>
          <w:b/>
          <w:bCs/>
        </w:rPr>
      </w:pPr>
      <w:r w:rsidRPr="00170DCE">
        <w:rPr>
          <w:rFonts w:ascii="Times New Roman" w:hAnsi="Times New Roman" w:cs="Times New Roman"/>
          <w:b/>
          <w:bCs/>
        </w:rPr>
        <w:t>5 Conclusion</w:t>
      </w:r>
      <w:bookmarkStart w:id="0" w:name="_GoBack"/>
      <w:bookmarkEnd w:id="0"/>
    </w:p>
    <w:p w14:paraId="2A0A229B" w14:textId="23B3E212" w:rsidR="003124F5" w:rsidRPr="00170DCE" w:rsidRDefault="00D34BFF" w:rsidP="00D34BFF">
      <w:pPr>
        <w:rPr>
          <w:rFonts w:ascii="Times New Roman" w:hAnsi="Times New Roman" w:cs="Times New Roman"/>
        </w:rPr>
      </w:pPr>
      <w:r w:rsidRPr="00170DCE">
        <w:rPr>
          <w:rFonts w:ascii="Times New Roman" w:hAnsi="Times New Roman" w:cs="Times New Roman"/>
        </w:rPr>
        <w:t>According to the model creation in the previous chapter and the comparison of the AUC area, the logistic regression model has the best form, with an AUC area of ​​0.81</w:t>
      </w:r>
    </w:p>
    <w:sectPr w:rsidR="003124F5" w:rsidRPr="00170DC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94ACF" w14:textId="77777777" w:rsidR="00F51110" w:rsidRDefault="00F51110" w:rsidP="00D34BFF">
      <w:pPr>
        <w:spacing w:after="0" w:line="240" w:lineRule="auto"/>
      </w:pPr>
      <w:r>
        <w:separator/>
      </w:r>
    </w:p>
  </w:endnote>
  <w:endnote w:type="continuationSeparator" w:id="0">
    <w:p w14:paraId="0DBBCB89" w14:textId="77777777" w:rsidR="00F51110" w:rsidRDefault="00F51110" w:rsidP="00D34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4CBE5" w14:textId="77777777" w:rsidR="00F51110" w:rsidRDefault="00F51110" w:rsidP="00D34BFF">
      <w:pPr>
        <w:spacing w:after="0" w:line="240" w:lineRule="auto"/>
      </w:pPr>
      <w:r>
        <w:separator/>
      </w:r>
    </w:p>
  </w:footnote>
  <w:footnote w:type="continuationSeparator" w:id="0">
    <w:p w14:paraId="07EFDE2D" w14:textId="77777777" w:rsidR="00F51110" w:rsidRDefault="00F51110" w:rsidP="00D34B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06"/>
    <w:rsid w:val="00170DCE"/>
    <w:rsid w:val="003124F5"/>
    <w:rsid w:val="00D34BFF"/>
    <w:rsid w:val="00DD2906"/>
    <w:rsid w:val="00F511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37DF3B-FCC9-4E2C-A92B-09473AB9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BFF"/>
  </w:style>
  <w:style w:type="paragraph" w:styleId="Footer">
    <w:name w:val="footer"/>
    <w:basedOn w:val="Normal"/>
    <w:link w:val="FooterChar"/>
    <w:uiPriority w:val="99"/>
    <w:unhideWhenUsed/>
    <w:rsid w:val="00D34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LIU</dc:creator>
  <cp:keywords/>
  <dc:description/>
  <cp:lastModifiedBy>Yan LIU</cp:lastModifiedBy>
  <cp:revision>3</cp:revision>
  <dcterms:created xsi:type="dcterms:W3CDTF">2020-07-30T03:02:00Z</dcterms:created>
  <dcterms:modified xsi:type="dcterms:W3CDTF">2020-07-30T03:05:00Z</dcterms:modified>
</cp:coreProperties>
</file>