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项目总结报告</w:t>
      </w:r>
    </w:p>
    <w:p>
      <w:pPr>
        <w:jc w:val="center"/>
        <w:rPr>
          <w:rFonts w:hint="default" w:eastAsia="宋体"/>
          <w:b/>
          <w:sz w:val="32"/>
          <w:szCs w:val="32"/>
          <w:lang w:val="en-US" w:eastAsia="zh-CN"/>
        </w:rPr>
      </w:pPr>
      <w:r>
        <w:rPr>
          <w:rFonts w:hint="eastAsia"/>
          <w:szCs w:val="21"/>
        </w:rPr>
        <w:t xml:space="preserve">                                  日期：</w:t>
      </w:r>
      <w:r>
        <w:rPr>
          <w:rFonts w:hint="eastAsia"/>
          <w:szCs w:val="21"/>
          <w:lang w:val="en-US" w:eastAsia="zh-CN"/>
        </w:rPr>
        <w:t>2026/7/30</w:t>
      </w:r>
    </w:p>
    <w:tbl>
      <w:tblPr>
        <w:tblStyle w:val="7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4"/>
        <w:gridCol w:w="1674"/>
        <w:gridCol w:w="1866"/>
        <w:gridCol w:w="371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组号</w:t>
            </w:r>
          </w:p>
        </w:tc>
        <w:tc>
          <w:tcPr>
            <w:tcW w:w="1674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14</w:t>
            </w:r>
          </w:p>
        </w:tc>
        <w:tc>
          <w:tcPr>
            <w:tcW w:w="1866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项目名称</w:t>
            </w:r>
          </w:p>
        </w:tc>
        <w:tc>
          <w:tcPr>
            <w:tcW w:w="3714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rFonts w:hint="default" w:eastAsia="宋体"/>
                <w:color w:val="0070C0"/>
                <w:szCs w:val="21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Bionote生物实验记录助手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编程语言</w:t>
            </w:r>
          </w:p>
        </w:tc>
        <w:tc>
          <w:tcPr>
            <w:tcW w:w="1674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Java</w:t>
            </w:r>
          </w:p>
        </w:tc>
        <w:tc>
          <w:tcPr>
            <w:tcW w:w="1866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开发平台和框架</w:t>
            </w:r>
          </w:p>
        </w:tc>
        <w:tc>
          <w:tcPr>
            <w:tcW w:w="3714" w:type="dxa"/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React 18 + Vite </w:t>
            </w:r>
            <w:r>
              <w:rPr>
                <w:rFonts w:hint="default"/>
                <w:szCs w:val="21"/>
                <w:lang w:val="en-US" w:eastAsia="zh-CN"/>
              </w:rPr>
              <w:t>Java 17</w:t>
            </w:r>
            <w:r>
              <w:rPr>
                <w:rFonts w:hint="eastAsia"/>
                <w:szCs w:val="21"/>
                <w:lang w:val="en-US" w:eastAsia="zh-CN"/>
              </w:rPr>
              <w:t>；</w:t>
            </w:r>
            <w:r>
              <w:rPr>
                <w:rFonts w:hint="default"/>
                <w:szCs w:val="21"/>
                <w:lang w:val="en-US" w:eastAsia="zh-CN"/>
              </w:rPr>
              <w:t>Maven</w:t>
            </w:r>
            <w:r>
              <w:rPr>
                <w:rFonts w:hint="eastAsia"/>
                <w:szCs w:val="21"/>
                <w:lang w:val="en-US" w:eastAsia="zh-CN"/>
              </w:rPr>
              <w:t>；</w:t>
            </w:r>
            <w:r>
              <w:rPr>
                <w:rFonts w:hint="default"/>
                <w:szCs w:val="21"/>
                <w:lang w:val="en-US" w:eastAsia="zh-CN"/>
              </w:rPr>
              <w:t>MySQL</w:t>
            </w:r>
          </w:p>
        </w:tc>
      </w:tr>
    </w:tbl>
    <w:p>
      <w:pPr>
        <w:rPr>
          <w:vanish/>
        </w:rPr>
      </w:pPr>
    </w:p>
    <w:tbl>
      <w:tblPr>
        <w:tblStyle w:val="7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8928" w:type="dxa"/>
            <w:shd w:val="pct10" w:color="auto" w:fill="FFFFFF"/>
          </w:tcPr>
          <w:p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>
              <w:rPr>
                <w:rFonts w:hint="eastAsia" w:ascii="宋体"/>
                <w:b/>
                <w:szCs w:val="21"/>
              </w:rPr>
              <w:t>项</w:t>
            </w:r>
            <w:r>
              <w:rPr>
                <w:rFonts w:ascii="宋体"/>
                <w:b/>
                <w:szCs w:val="21"/>
              </w:rPr>
              <w:t>目</w:t>
            </w:r>
            <w:r>
              <w:rPr>
                <w:rFonts w:hint="eastAsia" w:ascii="宋体"/>
                <w:b/>
                <w:szCs w:val="21"/>
              </w:rPr>
              <w:t>工</w:t>
            </w:r>
            <w:r>
              <w:rPr>
                <w:rFonts w:ascii="宋体"/>
                <w:b/>
                <w:szCs w:val="21"/>
              </w:rPr>
              <w:t>作小结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928" w:type="dxa"/>
          </w:tcPr>
          <w:p>
            <w:pPr>
              <w:adjustRightInd w:val="0"/>
              <w:snapToGrid w:val="0"/>
              <w:spacing w:line="460" w:lineRule="atLeast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1.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项目实现</w:t>
            </w:r>
            <w:r>
              <w:rPr>
                <w:rFonts w:hint="eastAsia"/>
                <w:szCs w:val="21"/>
                <w:lang w:val="en-US" w:eastAsia="zh-CN"/>
              </w:rPr>
              <w:t>功能：</w:t>
            </w:r>
          </w:p>
          <w:p>
            <w:pPr>
              <w:numPr>
                <w:numId w:val="0"/>
              </w:numPr>
              <w:adjustRightInd w:val="0"/>
              <w:snapToGrid w:val="0"/>
              <w:spacing w:line="460" w:lineRule="atLeast"/>
              <w:ind w:left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</w:t>
            </w:r>
            <w:r>
              <w:rPr>
                <w:rFonts w:hint="eastAsia"/>
                <w:szCs w:val="21"/>
              </w:rPr>
              <w:t>项目协作：创建项目、邀请成员、分配负责人和审核人，实现多人协作。</w:t>
            </w:r>
          </w:p>
          <w:p>
            <w:pPr>
              <w:numPr>
                <w:numId w:val="0"/>
              </w:numPr>
              <w:adjustRightInd w:val="0"/>
              <w:snapToGrid w:val="0"/>
              <w:spacing w:line="460" w:lineRule="atLeast"/>
              <w:ind w:left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</w:t>
            </w:r>
            <w:r>
              <w:rPr>
                <w:rFonts w:hint="eastAsia"/>
                <w:szCs w:val="21"/>
              </w:rPr>
              <w:t>实验记录：使用结构化模板和富文本编辑器记录实验过程，支持附件、自动保存、搜索导出。</w:t>
            </w:r>
          </w:p>
          <w:p>
            <w:pPr>
              <w:numPr>
                <w:numId w:val="0"/>
              </w:numPr>
              <w:adjustRightInd w:val="0"/>
              <w:snapToGrid w:val="0"/>
              <w:spacing w:line="460" w:lineRule="atLeast"/>
              <w:ind w:left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</w:t>
            </w:r>
            <w:r>
              <w:rPr>
                <w:rFonts w:hint="eastAsia"/>
                <w:szCs w:val="21"/>
              </w:rPr>
              <w:t>审核流程：实验记录可提交审核、退回修改和审核通过，并通过状态机控制编辑权限。</w:t>
            </w:r>
          </w:p>
          <w:p>
            <w:pPr>
              <w:numPr>
                <w:numId w:val="0"/>
              </w:numPr>
              <w:adjustRightInd w:val="0"/>
              <w:snapToGrid w:val="0"/>
              <w:spacing w:line="460" w:lineRule="atLeast"/>
              <w:ind w:left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</w:t>
            </w:r>
            <w:r>
              <w:rPr>
                <w:rFonts w:hint="eastAsia"/>
                <w:szCs w:val="21"/>
              </w:rPr>
              <w:t>版本管理：自动保存不可变历史版本，支持版本时间线、内容 Diff 和历史版本恢复。</w:t>
            </w:r>
          </w:p>
          <w:p>
            <w:pPr>
              <w:numPr>
                <w:numId w:val="0"/>
              </w:numPr>
              <w:adjustRightInd w:val="0"/>
              <w:snapToGrid w:val="0"/>
              <w:spacing w:line="460" w:lineRule="atLeast"/>
              <w:ind w:left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</w:t>
            </w:r>
            <w:r>
              <w:rPr>
                <w:rFonts w:hint="eastAsia"/>
                <w:szCs w:val="21"/>
              </w:rPr>
              <w:t>安全与审计：提供角色权限、对象级访问控制、操作日志和并发冲突保护。</w:t>
            </w:r>
          </w:p>
          <w:p>
            <w:pPr>
              <w:numPr>
                <w:numId w:val="0"/>
              </w:numPr>
              <w:adjustRightInd w:val="0"/>
              <w:snapToGrid w:val="0"/>
              <w:spacing w:line="460" w:lineRule="atLeast"/>
              <w:ind w:left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</w:t>
            </w:r>
            <w:r>
              <w:rPr>
                <w:rFonts w:hint="eastAsia"/>
                <w:szCs w:val="21"/>
              </w:rPr>
              <w:t>智能辅助：Agent 可通过只读工具查询项目数据，生成带证据、可追踪和可复核的分析结果。</w:t>
            </w:r>
          </w:p>
          <w:p>
            <w:pPr>
              <w:numPr>
                <w:numId w:val="0"/>
              </w:numPr>
              <w:adjustRightInd w:val="0"/>
              <w:snapToGrid w:val="0"/>
              <w:spacing w:line="460" w:lineRule="atLeast"/>
              <w:ind w:left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</w:t>
            </w:r>
            <w:r>
              <w:rPr>
                <w:rFonts w:hint="eastAsia"/>
                <w:szCs w:val="21"/>
              </w:rPr>
              <w:t>数据分析扩展：支持读取 CSV/Excel 数据，进行曲线拟合、多元回归和图表展示。</w:t>
            </w: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>
            <w:pPr>
              <w:numPr>
                <w:ilvl w:val="0"/>
                <w:numId w:val="1"/>
              </w:num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项目实现</w:t>
            </w:r>
            <w:r>
              <w:rPr>
                <w:rFonts w:hint="eastAsia"/>
                <w:szCs w:val="21"/>
                <w:lang w:val="en-US" w:eastAsia="zh-CN"/>
              </w:rPr>
              <w:t>非功能：</w:t>
            </w: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default"/>
                <w:szCs w:val="21"/>
                <w:lang w:val="en-US" w:eastAsia="zh-CN"/>
              </w:rPr>
              <w:t>覆盖安全、数据一致性、性能与可用性、</w:t>
            </w:r>
            <w:r>
              <w:rPr>
                <w:rFonts w:hint="default"/>
                <w:i w:val="0"/>
                <w:iCs w:val="0"/>
                <w:szCs w:val="21"/>
                <w:lang w:val="en-US" w:eastAsia="zh-CN"/>
              </w:rPr>
              <w:t>API</w:t>
            </w:r>
            <w:r>
              <w:rPr>
                <w:rFonts w:hint="default"/>
                <w:i/>
                <w:iCs/>
                <w:szCs w:val="21"/>
                <w:lang w:val="en-US" w:eastAsia="zh-CN"/>
              </w:rPr>
              <w:t xml:space="preserve"> </w:t>
            </w:r>
            <w:r>
              <w:rPr>
                <w:rFonts w:hint="default"/>
                <w:szCs w:val="21"/>
                <w:lang w:val="en-US" w:eastAsia="zh-CN"/>
              </w:rPr>
              <w:t>错误语义</w:t>
            </w: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>
            <w:pPr>
              <w:numPr>
                <w:ilvl w:val="0"/>
                <w:numId w:val="1"/>
              </w:numPr>
              <w:adjustRightInd w:val="0"/>
              <w:snapToGrid w:val="0"/>
              <w:spacing w:line="460" w:lineRule="atLeast"/>
              <w:ind w:left="0" w:leftChars="0" w:firstLine="0" w:firstLine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项目有哪些特点和亮点？例如业务特色、</w:t>
            </w:r>
            <w:r>
              <w:rPr>
                <w:szCs w:val="21"/>
              </w:rPr>
              <w:t>架构风格</w:t>
            </w:r>
            <w:r>
              <w:rPr>
                <w:rFonts w:hint="eastAsia"/>
                <w:szCs w:val="21"/>
              </w:rPr>
              <w:t>、</w:t>
            </w:r>
            <w:r>
              <w:rPr>
                <w:szCs w:val="21"/>
              </w:rPr>
              <w:t>设计模式</w:t>
            </w:r>
            <w:r>
              <w:rPr>
                <w:rFonts w:hint="eastAsia"/>
                <w:szCs w:val="21"/>
              </w:rPr>
              <w:t>、模型、算法、项目协同等</w:t>
            </w:r>
          </w:p>
          <w:p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240" w:afterAutospacing="0" w:line="18" w:lineRule="atLeast"/>
              <w:ind w:left="0" w:right="0" w:firstLine="0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  <w:t>权限、审核与状态机结合：系统通过综合考虑用户角色、项目成员关系、记录状态和操作类型来判断权限。实验记录按照状态机流转：编辑中 → 审核中 → 退回修改 / 审核通过。</w:t>
            </w: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  <w:t>将权限控制与业务状态深度结合，明确记录责任，从而保证实验记录的责任边界和审核可信度。</w:t>
            </w:r>
          </w:p>
          <w:p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240" w:afterAutospacing="0" w:line="18" w:lineRule="atLeast"/>
              <w:ind w:left="0" w:right="0" w:firstLine="0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  <w:t>Git 风格的时间线、版本管理与 Diff：</w:t>
            </w: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  <w:t>借鉴 Git 的版本治理思想，针对实验记录场景进行了领域化设计。每次提交或恢复都会生成不可变的 Revision，历史版本不会被覆盖。项目时间线聚合记录创建、提交审核、审核结果、版本恢复和 Agent 分析等关键事件。用户可以比较任意两个历史版本。能够记录修改历史、修改内容，并提供安全恢复，增强了实验过程的可追溯性和可复现性。</w:t>
            </w:r>
          </w:p>
          <w:p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240" w:afterAutospacing="0" w:line="18" w:lineRule="atLeast"/>
              <w:ind w:left="0" w:right="0" w:firstLine="0"/>
              <w:jc w:val="left"/>
              <w:rPr>
                <w:rFonts w:hint="eastAsia" w:ascii="Times New Roman" w:hAnsi="Times New Roman" w:eastAsia="宋体" w:cs="Times New Roman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  <w:t>Agent Harness 框架：参考 Tool Use Agent 模式，设计了一套受约束、可追踪的 Agent 运行框架。Agent 只能调用经过注册和验证的白名单只读工具。每次工具调用都会重新校验当前用户的访问权限，防止越权查询。Agent 的关键结论必须引用系统中真实存在的项目、记录或审核数据，等。这一框架把不可控的大模型限制在可授权、可验证、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kern w:val="2"/>
                <w:sz w:val="21"/>
                <w:szCs w:val="24"/>
                <w:lang w:val="en-US" w:eastAsia="zh-CN" w:bidi="ar-SA"/>
              </w:rPr>
              <w:t>可追踪的工程边界内，使 Agent 的回答有数据依据，执行过程可以复核。</w:t>
            </w:r>
          </w:p>
          <w:p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240" w:afterAutospacing="0" w:line="18" w:lineRule="atLeast"/>
              <w:ind w:left="0" w:right="0" w:firstLine="0"/>
              <w:jc w:val="left"/>
              <w:rPr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  <w:t>在此基础上，系统进一步添加了实验数据拟合工具库。用户可以要求 Agent 分析 CSV、Excel 或实验记录中的数据，支持线性、多项式、指数、对数、幂函数、米氏和 Logistic 等拟合模型，自动生成可视化图表，简化实验者的工作任务。</w:t>
            </w:r>
          </w:p>
          <w:p>
            <w:pPr>
              <w:numPr>
                <w:ilvl w:val="0"/>
                <w:numId w:val="1"/>
              </w:numPr>
              <w:adjustRightInd w:val="0"/>
              <w:snapToGrid w:val="0"/>
              <w:spacing w:line="460" w:lineRule="atLeast"/>
              <w:ind w:left="0" w:leftChars="0" w:firstLine="0" w:firstLineChars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项目的质量控制如何？简要一一列出。例如软件评审、</w:t>
            </w:r>
            <w:r>
              <w:rPr>
                <w:szCs w:val="21"/>
              </w:rPr>
              <w:t>单元测</w:t>
            </w:r>
            <w:r>
              <w:rPr>
                <w:rFonts w:hint="eastAsia"/>
                <w:szCs w:val="21"/>
              </w:rPr>
              <w:t>试、API测试、系统的</w:t>
            </w:r>
            <w:r>
              <w:rPr>
                <w:szCs w:val="21"/>
              </w:rPr>
              <w:t>功能测</w:t>
            </w:r>
            <w:r>
              <w:rPr>
                <w:rFonts w:hint="eastAsia"/>
                <w:szCs w:val="21"/>
              </w:rPr>
              <w:t>试、</w:t>
            </w:r>
            <w:r>
              <w:rPr>
                <w:szCs w:val="21"/>
              </w:rPr>
              <w:t>性能测试</w:t>
            </w:r>
            <w:r>
              <w:rPr>
                <w:rFonts w:hint="eastAsia"/>
                <w:szCs w:val="21"/>
              </w:rPr>
              <w:t>、兼</w:t>
            </w:r>
            <w:r>
              <w:rPr>
                <w:szCs w:val="21"/>
              </w:rPr>
              <w:t>容性</w:t>
            </w:r>
            <w:r>
              <w:rPr>
                <w:rFonts w:hint="eastAsia"/>
                <w:szCs w:val="21"/>
              </w:rPr>
              <w:t>测试、界面测试等等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软件评审：覆盖 UI 交互、业务逻辑、用户体验等多维度反馈，确保产品需求的正确性和完整性。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单元测试：前后端代码测试覆盖率达到90%，覆盖 Service 层、Controller 层、Repository 层、DTO/Codec 层及领域逻辑层。采用 Vitest + @testing-library/react + jsdom，覆盖组件渲染、页面集成、纯逻辑等层级。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API测试：前端 API 层专项测试通过率 97.1%。通过 fetch 拦截验证请求构造、响应解析与错误处理，确保前后端接口契约的正确性。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系统的功能测试：基于 Playwright 的端到端测试，共 8 个 spec 文件，覆盖认证与授权、审核流程、冲突与幂等、Agent 进度与失败、版本差异与恢复等核心业务主流程。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兼容性测试：覆盖主流浏览器（Chrome、Firefox、Safari、Edge）及不同操作系统环境的兼容性验证。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界面测试：组件级上，Vitest + jsdom 自动渲染验证，确保组件正确渲染和交互。人工上，对 UI 视觉效果、必填标识颜色统一、附件预览兼容性、文本编辑器效果等界面问题进行了详细审查。</w:t>
            </w:r>
          </w:p>
          <w:p>
            <w:pPr>
              <w:adjustRightInd w:val="0"/>
              <w:snapToGrid w:val="0"/>
              <w:spacing w:line="460" w:lineRule="atLeast"/>
              <w:rPr>
                <w:color w:val="0070C0"/>
                <w:szCs w:val="21"/>
              </w:rPr>
            </w:pPr>
          </w:p>
          <w:p>
            <w:pPr>
              <w:numPr>
                <w:ilvl w:val="0"/>
                <w:numId w:val="1"/>
              </w:numPr>
              <w:adjustRightInd w:val="0"/>
              <w:snapToGrid w:val="0"/>
              <w:spacing w:line="460" w:lineRule="atLeast"/>
              <w:ind w:left="0" w:leftChars="0" w:firstLine="0" w:firstLineChars="0"/>
              <w:rPr>
                <w:rFonts w:hint="eastAsia"/>
                <w:szCs w:val="21"/>
              </w:rPr>
            </w:pPr>
            <w:r>
              <w:rPr>
                <w:rFonts w:ascii="Segoe UI" w:hAnsi="Segoe UI" w:cs="Segoe UI"/>
                <w:szCs w:val="21"/>
                <w:shd w:val="clear" w:color="auto" w:fill="FAFAFA"/>
              </w:rPr>
              <w:t>大模型</w:t>
            </w:r>
            <w:r>
              <w:rPr>
                <w:szCs w:val="21"/>
              </w:rPr>
              <w:t>工具辅助完成</w:t>
            </w:r>
            <w:r>
              <w:rPr>
                <w:rFonts w:hint="eastAsia"/>
                <w:szCs w:val="21"/>
              </w:rPr>
              <w:t>了</w:t>
            </w:r>
            <w:r>
              <w:rPr>
                <w:szCs w:val="21"/>
              </w:rPr>
              <w:t>哪些方面的软件开发实践活动</w:t>
            </w:r>
            <w:r>
              <w:rPr>
                <w:rFonts w:hint="eastAsia"/>
                <w:szCs w:val="21"/>
              </w:rPr>
              <w:t>？</w:t>
            </w:r>
          </w:p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辅助</w:t>
            </w:r>
            <w:r>
              <w:rPr>
                <w:rFonts w:hint="eastAsia"/>
                <w:lang w:val="en-US" w:eastAsia="zh-CN"/>
              </w:rPr>
              <w:t>编码：大模型参与了</w:t>
            </w:r>
            <w:r>
              <w:rPr>
                <w:rFonts w:hint="default"/>
                <w:lang w:val="en-US" w:eastAsia="zh-CN"/>
              </w:rPr>
              <w:t>完成前后端功能开发与联调，例如记录创建链路、Agent 对话、曲线拟合确认流、Excel/CSV</w:t>
            </w:r>
            <w:r>
              <w:rPr>
                <w:rFonts w:hint="eastAsia"/>
                <w:lang w:val="en-US" w:eastAsia="zh-CN"/>
              </w:rPr>
              <w:t>读取、</w:t>
            </w:r>
            <w:r>
              <w:rPr>
                <w:rFonts w:hint="default"/>
                <w:lang w:val="en-US" w:eastAsia="zh-CN"/>
              </w:rPr>
              <w:t xml:space="preserve"> 绘图、API 与页面对接等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协助排查运行期</w:t>
            </w:r>
            <w:r>
              <w:rPr>
                <w:rFonts w:hint="eastAsia"/>
                <w:lang w:val="en-US" w:eastAsia="zh-CN"/>
              </w:rPr>
              <w:t>产生</w:t>
            </w:r>
            <w:r>
              <w:rPr>
                <w:rFonts w:hint="default"/>
                <w:lang w:val="en-US" w:eastAsia="zh-CN"/>
              </w:rPr>
              <w:t>问题</w:t>
            </w:r>
            <w:r>
              <w:rPr>
                <w:rFonts w:hint="eastAsia"/>
                <w:lang w:val="en-US" w:eastAsia="zh-CN"/>
              </w:rPr>
              <w:t>：大模型能够辅助核对试运行中的报错信息，提供错误定位与修改意见</w:t>
            </w:r>
          </w:p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文档汇总：大模型工具能够记录并整理功能与实现，同时也能预测项目未来的潜在风险，评估任务的实现难度，为架构文档和迭代计划的整理与优化提供信息对照和参考，</w:t>
            </w: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6</w:t>
            </w:r>
            <w:r>
              <w:rPr>
                <w:rFonts w:hint="eastAsia"/>
                <w:szCs w:val="21"/>
              </w:rPr>
              <w:t>．</w:t>
            </w:r>
            <w:bookmarkStart w:id="0" w:name="OLE_LINK1"/>
            <w:r>
              <w:rPr>
                <w:rFonts w:hint="eastAsia"/>
                <w:szCs w:val="21"/>
              </w:rPr>
              <w:t>大作业里，哪些代码开发、任务环节无法由大模型独立实现，需要人机协作或纯人工完成？</w:t>
            </w:r>
            <w:bookmarkEnd w:id="0"/>
          </w:p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需求确认：需要纯人工理解甲方需求，拟定原型和方案，需求的确认是强交互的纯人工流程，无法由大模型处理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Demo测试与运维：需要人工进行前端的实际运行功能测试，模拟真实运行环境与验收，大模型难以理解实际运行反馈，只能从后端做模拟测试用例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版本决策与功能合并：分支节点合并时候可能存在代码冲突，需要人工进行讨论审核取舍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前端设计美化：考虑到易用性和界面美观，软件的操作反馈与界面美观是纯主观因素，大模型难以评估，需要进行人工设计与小组评估</w:t>
            </w:r>
            <w:bookmarkStart w:id="1" w:name="_GoBack"/>
            <w:bookmarkEnd w:id="1"/>
          </w:p>
          <w:p>
            <w:pPr>
              <w:adjustRightInd w:val="0"/>
              <w:snapToGrid w:val="0"/>
              <w:spacing w:line="460" w:lineRule="atLeast"/>
              <w:rPr>
                <w:color w:val="0070C0"/>
                <w:szCs w:val="21"/>
              </w:rPr>
            </w:pPr>
          </w:p>
          <w:p>
            <w:pPr>
              <w:adjustRightInd w:val="0"/>
              <w:snapToGrid w:val="0"/>
              <w:spacing w:line="460" w:lineRule="atLeast"/>
              <w:rPr>
                <w:color w:val="0070C0"/>
                <w:szCs w:val="21"/>
              </w:rPr>
            </w:pPr>
          </w:p>
          <w:p>
            <w:pPr>
              <w:spacing w:line="360" w:lineRule="atLeast"/>
              <w:jc w:val="center"/>
              <w:rPr>
                <w:color w:val="0070C0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928" w:type="dxa"/>
          </w:tcPr>
          <w:p>
            <w:pPr>
              <w:spacing w:line="360" w:lineRule="atLeast"/>
              <w:jc w:val="center"/>
              <w:rPr>
                <w:color w:val="0070C0"/>
                <w:szCs w:val="21"/>
              </w:rPr>
            </w:pPr>
          </w:p>
        </w:tc>
      </w:tr>
    </w:tbl>
    <w:p/>
    <w:tbl>
      <w:tblPr>
        <w:tblStyle w:val="7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8928" w:type="dxa"/>
            <w:shd w:val="pct10" w:color="auto" w:fill="FFFFFF"/>
          </w:tcPr>
          <w:p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>
              <w:rPr>
                <w:rFonts w:hint="eastAsia" w:ascii="宋体"/>
                <w:b/>
                <w:szCs w:val="21"/>
              </w:rPr>
              <w:t>项目组成员以及大模型工具对项目的贡献度（%）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928" w:type="dxa"/>
          </w:tcPr>
          <w:tbl>
            <w:tblPr>
              <w:tblStyle w:val="8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450"/>
              <w:gridCol w:w="984"/>
              <w:gridCol w:w="992"/>
              <w:gridCol w:w="992"/>
              <w:gridCol w:w="993"/>
              <w:gridCol w:w="1417"/>
              <w:gridCol w:w="141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450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姓名</w:t>
                  </w:r>
                </w:p>
              </w:tc>
              <w:tc>
                <w:tcPr>
                  <w:tcW w:w="984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需求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设计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编码</w:t>
                  </w:r>
                </w:p>
              </w:tc>
              <w:tc>
                <w:tcPr>
                  <w:tcW w:w="993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测试</w:t>
                  </w:r>
                </w:p>
              </w:tc>
              <w:tc>
                <w:tcPr>
                  <w:tcW w:w="1417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项目管理</w:t>
                  </w:r>
                  <w:r>
                    <w:rPr>
                      <w:rFonts w:hint="eastAsia"/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*</w:t>
                  </w:r>
                </w:p>
              </w:tc>
              <w:tc>
                <w:tcPr>
                  <w:tcW w:w="1418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color w:val="000000" w:themeColor="text1"/>
                      <w:szCs w:val="21"/>
                      <w14:textFill>
                        <w14:solidFill>
                          <w14:schemeClr w14:val="tx1"/>
                        </w14:solidFill>
                      </w14:textFill>
                    </w:rPr>
                    <w:t>小计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450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A6A6A6" w:themeColor="background1" w:themeShade="A6"/>
                      <w:szCs w:val="21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谭昊</w:t>
                  </w:r>
                </w:p>
              </w:tc>
              <w:tc>
                <w:tcPr>
                  <w:tcW w:w="984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35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</w:t>
                  </w:r>
                </w:p>
              </w:tc>
              <w:tc>
                <w:tcPr>
                  <w:tcW w:w="993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1417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1418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450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A6A6A6" w:themeColor="background1" w:themeShade="A6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金钰豪</w:t>
                  </w:r>
                </w:p>
              </w:tc>
              <w:tc>
                <w:tcPr>
                  <w:tcW w:w="984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25</w:t>
                  </w:r>
                </w:p>
              </w:tc>
              <w:tc>
                <w:tcPr>
                  <w:tcW w:w="993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35</w:t>
                  </w:r>
                </w:p>
              </w:tc>
              <w:tc>
                <w:tcPr>
                  <w:tcW w:w="1417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</w:t>
                  </w:r>
                </w:p>
              </w:tc>
              <w:tc>
                <w:tcPr>
                  <w:tcW w:w="1418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450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eastAsia" w:eastAsia="宋体"/>
                      <w:color w:val="A6A6A6" w:themeColor="background1" w:themeShade="A6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桂寅瑞</w:t>
                  </w:r>
                </w:p>
              </w:tc>
              <w:tc>
                <w:tcPr>
                  <w:tcW w:w="984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35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</w:t>
                  </w:r>
                </w:p>
              </w:tc>
              <w:tc>
                <w:tcPr>
                  <w:tcW w:w="993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1417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25</w:t>
                  </w:r>
                </w:p>
              </w:tc>
              <w:tc>
                <w:tcPr>
                  <w:tcW w:w="1418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450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A6A6A6" w:themeColor="background1" w:themeShade="A6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岳耀扬</w:t>
                  </w:r>
                </w:p>
              </w:tc>
              <w:tc>
                <w:tcPr>
                  <w:tcW w:w="984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15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35</w:t>
                  </w:r>
                </w:p>
              </w:tc>
              <w:tc>
                <w:tcPr>
                  <w:tcW w:w="993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25</w:t>
                  </w:r>
                </w:p>
              </w:tc>
              <w:tc>
                <w:tcPr>
                  <w:tcW w:w="1417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</w:t>
                  </w:r>
                </w:p>
              </w:tc>
              <w:tc>
                <w:tcPr>
                  <w:tcW w:w="1418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593" w:hRule="atLeast"/>
                <w:jc w:val="center"/>
              </w:trPr>
              <w:tc>
                <w:tcPr>
                  <w:tcW w:w="1450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/>
                      <w:color w:val="A6A6A6" w:themeColor="background1" w:themeShade="A6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刘鹿原</w:t>
                  </w:r>
                </w:p>
              </w:tc>
              <w:tc>
                <w:tcPr>
                  <w:tcW w:w="984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20</w:t>
                  </w:r>
                </w:p>
              </w:tc>
              <w:tc>
                <w:tcPr>
                  <w:tcW w:w="992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20</w:t>
                  </w:r>
                </w:p>
              </w:tc>
              <w:tc>
                <w:tcPr>
                  <w:tcW w:w="993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</w:t>
                  </w:r>
                </w:p>
              </w:tc>
              <w:tc>
                <w:tcPr>
                  <w:tcW w:w="1417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40</w:t>
                  </w:r>
                </w:p>
              </w:tc>
              <w:tc>
                <w:tcPr>
                  <w:tcW w:w="1418" w:type="dxa"/>
                </w:tcPr>
                <w:p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rFonts w:hint="default" w:eastAsia="宋体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100</w:t>
                  </w:r>
                </w:p>
              </w:tc>
            </w:tr>
          </w:tbl>
          <w:p>
            <w:pPr>
              <w:adjustRightInd w:val="0"/>
              <w:snapToGrid w:val="0"/>
              <w:spacing w:line="460" w:lineRule="atLeast"/>
              <w:rPr>
                <w:color w:val="0070C0"/>
                <w:szCs w:val="21"/>
              </w:rPr>
            </w:pP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注：</w:t>
            </w:r>
            <w:r>
              <w:rPr>
                <w:rFonts w:hint="eastAsia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 xml:space="preserve"> 同学们应理解与评审大模型生成的内容，并负全部责任；项目管理包括项目</w:t>
            </w:r>
            <w:r>
              <w:rPr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计划、报告、沟通与协调等。</w:t>
            </w:r>
          </w:p>
        </w:tc>
      </w:tr>
    </w:tbl>
    <w:p>
      <w:pPr>
        <w:rPr>
          <w:vanish/>
        </w:rPr>
      </w:pPr>
    </w:p>
    <w:tbl>
      <w:tblPr>
        <w:tblStyle w:val="7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928" w:type="dxa"/>
            <w:shd w:val="pct10" w:color="auto" w:fill="FFFFFF"/>
          </w:tcPr>
          <w:p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>
              <w:br w:type="page"/>
            </w:r>
            <w:r>
              <w:rPr>
                <w:rFonts w:hint="eastAsia" w:ascii="宋体"/>
                <w:b/>
                <w:szCs w:val="21"/>
              </w:rPr>
              <w:t>经验、教训和建议</w:t>
            </w:r>
          </w:p>
        </w:tc>
      </w:tr>
      <w:tr>
        <w:tblPrEx>
          <w:tblBorders>
            <w:top w:val="single" w:color="auto" w:sz="4" w:space="0"/>
            <w:left w:val="single" w:color="auto" w:sz="12" w:space="0"/>
            <w:bottom w:val="single" w:color="auto" w:sz="12" w:space="0"/>
            <w:right w:val="single" w:color="auto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·在正式分工分配子系统代码任务实现前，需要开会讨论明确约定好相关代码算法和相应接口，做好接口变更的记录日志。</w:t>
            </w:r>
          </w:p>
          <w:p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·迭代的日期规划需要预留好充足的汇总时间，为汇报整理、分工merge和突发bug的修复预留缓冲时间</w:t>
            </w:r>
          </w:p>
          <w:p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·项目与真实需求接轨，需要利用模块化开发随时准备应对需求增加与需求变更</w:t>
            </w: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·对任务的实现需要做优先级划分，核心内容优先实现，模块化需求后续迭代实现</w:t>
            </w: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  </w:t>
            </w:r>
          </w:p>
        </w:tc>
      </w:tr>
    </w:tbl>
    <w:p>
      <w:r>
        <w:rPr>
          <w:rFonts w:hint="eastAsia"/>
        </w:rPr>
        <w:t>项</w:t>
      </w:r>
      <w:r>
        <w:t>目组各成员</w:t>
      </w:r>
      <w:r>
        <w:rPr>
          <w:rFonts w:hint="eastAsia"/>
        </w:rPr>
        <w:t>签</w:t>
      </w:r>
      <w:r>
        <w:t>字：</w:t>
      </w:r>
    </w:p>
    <w:sectPr>
      <w:pgSz w:w="11906" w:h="16838"/>
      <w:pgMar w:top="998" w:right="1134" w:bottom="851" w:left="179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1E4B9C"/>
    <w:multiLevelType w:val="singleLevel"/>
    <w:tmpl w:val="A41E4B9C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DAzM2UwMzU4MmFhNmVlMDJlNGE5N2VkNGU3MmM0ZDYifQ=="/>
  </w:docVars>
  <w:rsids>
    <w:rsidRoot w:val="00056DC3"/>
    <w:rsid w:val="00040CB8"/>
    <w:rsid w:val="000520B9"/>
    <w:rsid w:val="00056DC3"/>
    <w:rsid w:val="00086B26"/>
    <w:rsid w:val="000B62BA"/>
    <w:rsid w:val="000E6E61"/>
    <w:rsid w:val="000F2567"/>
    <w:rsid w:val="00140940"/>
    <w:rsid w:val="00141DB7"/>
    <w:rsid w:val="001C0B35"/>
    <w:rsid w:val="0021315C"/>
    <w:rsid w:val="00213715"/>
    <w:rsid w:val="002313C9"/>
    <w:rsid w:val="002B7CAA"/>
    <w:rsid w:val="002E392C"/>
    <w:rsid w:val="0031038A"/>
    <w:rsid w:val="00333F36"/>
    <w:rsid w:val="003B40D6"/>
    <w:rsid w:val="003F4FF9"/>
    <w:rsid w:val="004201A1"/>
    <w:rsid w:val="004B14A3"/>
    <w:rsid w:val="00514B90"/>
    <w:rsid w:val="00522AB7"/>
    <w:rsid w:val="00535ED2"/>
    <w:rsid w:val="0056319D"/>
    <w:rsid w:val="00582955"/>
    <w:rsid w:val="005C1E5C"/>
    <w:rsid w:val="005C5B06"/>
    <w:rsid w:val="005F00B9"/>
    <w:rsid w:val="005F1980"/>
    <w:rsid w:val="006265D9"/>
    <w:rsid w:val="006B659F"/>
    <w:rsid w:val="006C05F4"/>
    <w:rsid w:val="006D710E"/>
    <w:rsid w:val="00741A6E"/>
    <w:rsid w:val="0078028D"/>
    <w:rsid w:val="00797025"/>
    <w:rsid w:val="007F221A"/>
    <w:rsid w:val="00826C78"/>
    <w:rsid w:val="00836FB5"/>
    <w:rsid w:val="008819CF"/>
    <w:rsid w:val="008827E7"/>
    <w:rsid w:val="008C214A"/>
    <w:rsid w:val="00955D2E"/>
    <w:rsid w:val="009B7A4A"/>
    <w:rsid w:val="00A33F7B"/>
    <w:rsid w:val="00AE6595"/>
    <w:rsid w:val="00B056A3"/>
    <w:rsid w:val="00B46AE3"/>
    <w:rsid w:val="00B672BA"/>
    <w:rsid w:val="00BD4912"/>
    <w:rsid w:val="00C91CCA"/>
    <w:rsid w:val="00CA27E6"/>
    <w:rsid w:val="00DD4EFB"/>
    <w:rsid w:val="00E71C29"/>
    <w:rsid w:val="00EC23B3"/>
    <w:rsid w:val="00EC5936"/>
    <w:rsid w:val="00F947C7"/>
    <w:rsid w:val="00FB218E"/>
    <w:rsid w:val="00FB2B9D"/>
    <w:rsid w:val="00FC6628"/>
    <w:rsid w:val="010F585C"/>
    <w:rsid w:val="037D0A24"/>
    <w:rsid w:val="0754233A"/>
    <w:rsid w:val="15A747EC"/>
    <w:rsid w:val="1732013F"/>
    <w:rsid w:val="282909D1"/>
    <w:rsid w:val="32597D3C"/>
    <w:rsid w:val="3CF56887"/>
    <w:rsid w:val="3D127F47"/>
    <w:rsid w:val="3EF84E5D"/>
    <w:rsid w:val="4BEA4569"/>
    <w:rsid w:val="50F54C60"/>
    <w:rsid w:val="53EA4B69"/>
    <w:rsid w:val="7A374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TML Code"/>
    <w:basedOn w:val="9"/>
    <w:uiPriority w:val="0"/>
    <w:rPr>
      <w:rFonts w:ascii="Courier New" w:hAnsi="Courier New"/>
      <w:sz w:val="20"/>
    </w:rPr>
  </w:style>
  <w:style w:type="character" w:customStyle="1" w:styleId="11">
    <w:name w:val="页眉 字符"/>
    <w:link w:val="5"/>
    <w:uiPriority w:val="0"/>
    <w:rPr>
      <w:kern w:val="2"/>
      <w:sz w:val="18"/>
      <w:szCs w:val="18"/>
    </w:rPr>
  </w:style>
  <w:style w:type="character" w:customStyle="1" w:styleId="12">
    <w:name w:val="页脚 字符"/>
    <w:link w:val="4"/>
    <w:qFormat/>
    <w:uiPriority w:val="0"/>
    <w:rPr>
      <w:kern w:val="2"/>
      <w:sz w:val="18"/>
      <w:szCs w:val="18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ecust</Company>
  <Pages>3</Pages>
  <Words>1497</Words>
  <Characters>1777</Characters>
  <Lines>3</Lines>
  <Paragraphs>1</Paragraphs>
  <TotalTime>18</TotalTime>
  <ScaleCrop>false</ScaleCrop>
  <LinksUpToDate>false</LinksUpToDate>
  <CharactersWithSpaces>1859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2020-09-03T11:04:00Z</dcterms:created>
  <dc:creator>bjshen</dc:creator>
  <cp:lastModifiedBy>桂寅瑞</cp:lastModifiedBy>
  <dcterms:modified xsi:type="dcterms:W3CDTF">2026-07-31T04:23:05Z</dcterms:modified>
  <dc:title>初始阶段递交工件：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B04EE78AC0194C7CB1DC56DAD2011565_13</vt:lpwstr>
  </property>
</Properties>
</file>