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0"/>
        <w:jc w:val="right"/>
        <w:outlineLvl w:val="0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  <w:lang w:val="en-US" w:eastAsia="zh-CN"/>
        </w:rPr>
        <w:t>Bionote生物实验记录助手</w:t>
      </w:r>
      <w:r>
        <w:rPr>
          <w:rFonts w:ascii="Arial" w:hAnsi="Arial"/>
        </w:rPr>
        <w:fldChar w:fldCharType="end"/>
      </w:r>
    </w:p>
    <w:p>
      <w:pPr>
        <w:pStyle w:val="30"/>
        <w:jc w:val="right"/>
        <w:outlineLvl w:val="0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软件架构文档</w:t>
      </w:r>
      <w:r>
        <w:rPr>
          <w:rFonts w:ascii="Arial" w:hAnsi="Arial"/>
        </w:rPr>
        <w:fldChar w:fldCharType="end"/>
      </w:r>
    </w:p>
    <w:p>
      <w:pPr>
        <w:pStyle w:val="30"/>
        <w:jc w:val="right"/>
      </w:pPr>
    </w:p>
    <w:p>
      <w:pPr>
        <w:pStyle w:val="30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</w:t>
      </w:r>
      <w:r>
        <w:rPr>
          <w:rFonts w:hint="eastAsia" w:ascii="Arial" w:hAnsi="Arial"/>
          <w:sz w:val="28"/>
          <w:lang w:val="en-US" w:eastAsia="zh-CN"/>
        </w:rPr>
        <w:t>2</w:t>
      </w:r>
      <w:r>
        <w:rPr>
          <w:rFonts w:ascii="Arial" w:hAnsi="Arial"/>
          <w:sz w:val="28"/>
        </w:rPr>
        <w:t>.0&gt;</w:t>
      </w:r>
    </w:p>
    <w:p>
      <w:pPr>
        <w:pStyle w:val="49"/>
      </w:pPr>
    </w:p>
    <w:p>
      <w:pPr>
        <w:pStyle w:val="49"/>
      </w:pPr>
    </w:p>
    <w:p>
      <w:pPr>
        <w:pStyle w:val="30"/>
        <w:rPr>
          <w:sz w:val="28"/>
        </w:rPr>
      </w:pPr>
    </w:p>
    <w:p>
      <w:pPr>
        <w:sectPr>
          <w:headerReference r:id="rId5" w:type="default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>
      <w:pPr>
        <w:pStyle w:val="30"/>
        <w:outlineLvl w:val="0"/>
      </w:pPr>
      <w:r>
        <w:rPr>
          <w:rFonts w:hint="eastAsia"/>
        </w:rPr>
        <w:t>修订历史记录</w:t>
      </w:r>
    </w:p>
    <w:tbl>
      <w:tblPr>
        <w:tblStyle w:val="31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pStyle w:val="4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>
            <w:pPr>
              <w:pStyle w:val="4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>
            <w:pPr>
              <w:pStyle w:val="4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>
            <w:pPr>
              <w:pStyle w:val="4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pStyle w:val="42"/>
              <w:jc w:val="center"/>
            </w:pPr>
            <w:r>
              <w:rPr>
                <w:rFonts w:hint="eastAsia" w:ascii="Times New Roman"/>
                <w:lang w:val="en-US" w:eastAsia="zh-CN"/>
              </w:rPr>
              <w:t>17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7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2026</w:t>
            </w:r>
          </w:p>
        </w:tc>
        <w:tc>
          <w:tcPr>
            <w:tcW w:w="1152" w:type="dxa"/>
          </w:tcPr>
          <w:p>
            <w:pPr>
              <w:pStyle w:val="42"/>
              <w:jc w:val="center"/>
            </w:pPr>
            <w:r>
              <w:rPr>
                <w:rFonts w:hint="eastAsia" w:ascii="Times New Roman"/>
                <w:lang w:val="en-US" w:eastAsia="zh-CN"/>
              </w:rPr>
              <w:t>1</w:t>
            </w:r>
            <w:r>
              <w:rPr>
                <w:rFonts w:ascii="Times New Roman"/>
              </w:rPr>
              <w:t>.</w:t>
            </w:r>
            <w:r>
              <w:rPr>
                <w:rFonts w:hint="eastAsia" w:ascii="Times New Roman"/>
                <w:lang w:val="en-US" w:eastAsia="zh-CN"/>
              </w:rPr>
              <w:t>0</w:t>
            </w:r>
          </w:p>
        </w:tc>
        <w:tc>
          <w:tcPr>
            <w:tcW w:w="3744" w:type="dxa"/>
          </w:tcPr>
          <w:p>
            <w:pPr>
              <w:pStyle w:val="42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shd w:val="clear" w:color="auto" w:fill="auto"/>
                <w:lang w:val="en-US" w:eastAsia="zh-CN"/>
              </w:rPr>
              <w:t>整理了项目核心视图与说明，实现初版</w:t>
            </w:r>
            <w:r>
              <w:rPr>
                <w:rFonts w:ascii="Arial" w:hAnsi="Arial"/>
                <w:sz w:val="15"/>
                <w:szCs w:val="15"/>
                <w:shd w:val="clear" w:color="auto" w:fill="auto"/>
              </w:rPr>
              <w:fldChar w:fldCharType="begin"/>
            </w:r>
            <w:r>
              <w:rPr>
                <w:rFonts w:ascii="Arial" w:hAnsi="Arial"/>
                <w:sz w:val="15"/>
                <w:szCs w:val="15"/>
                <w:shd w:val="clear" w:color="auto" w:fill="auto"/>
              </w:rPr>
              <w:instrText xml:space="preserve"> TITLE  \* MERGEFORMAT </w:instrText>
            </w:r>
            <w:r>
              <w:rPr>
                <w:rFonts w:ascii="Arial" w:hAnsi="Arial"/>
                <w:sz w:val="15"/>
                <w:szCs w:val="15"/>
                <w:shd w:val="clear" w:color="auto" w:fill="auto"/>
              </w:rPr>
              <w:fldChar w:fldCharType="separate"/>
            </w:r>
            <w:r>
              <w:rPr>
                <w:rFonts w:hint="eastAsia" w:ascii="Arial" w:hAnsi="Arial"/>
                <w:sz w:val="15"/>
                <w:szCs w:val="15"/>
                <w:shd w:val="clear" w:color="auto" w:fill="auto"/>
              </w:rPr>
              <w:t>软件架构文档</w:t>
            </w:r>
            <w:r>
              <w:rPr>
                <w:rFonts w:ascii="Arial" w:hAnsi="Arial"/>
                <w:sz w:val="15"/>
                <w:szCs w:val="15"/>
                <w:shd w:val="clear" w:color="auto" w:fill="auto"/>
              </w:rPr>
              <w:fldChar w:fldCharType="end"/>
            </w:r>
          </w:p>
        </w:tc>
        <w:tc>
          <w:tcPr>
            <w:tcW w:w="2304" w:type="dxa"/>
          </w:tcPr>
          <w:p>
            <w:pPr>
              <w:pStyle w:val="42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桂寅瑞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pStyle w:val="42"/>
              <w:jc w:val="center"/>
            </w:pPr>
            <w:r>
              <w:rPr>
                <w:rFonts w:hint="eastAsia" w:ascii="Times New Roman"/>
                <w:lang w:val="en-US" w:eastAsia="zh-CN"/>
              </w:rPr>
              <w:t>17/7/2026</w:t>
            </w:r>
          </w:p>
        </w:tc>
        <w:tc>
          <w:tcPr>
            <w:tcW w:w="1152" w:type="dxa"/>
          </w:tcPr>
          <w:p>
            <w:pPr>
              <w:pStyle w:val="42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/>
                <w:lang w:val="en-US" w:eastAsia="zh-CN"/>
              </w:rPr>
              <w:t>1.1</w:t>
            </w:r>
          </w:p>
        </w:tc>
        <w:tc>
          <w:tcPr>
            <w:tcW w:w="3744" w:type="dxa"/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shd w:val="clear" w:color="auto" w:fill="auto"/>
                <w:lang w:val="en-US" w:eastAsia="zh-CN"/>
              </w:rPr>
              <w:t>增加进程与映射关系视图说明</w:t>
            </w:r>
          </w:p>
        </w:tc>
        <w:tc>
          <w:tcPr>
            <w:tcW w:w="2304" w:type="dxa"/>
          </w:tcPr>
          <w:p>
            <w:pPr>
              <w:pStyle w:val="42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桂寅瑞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pStyle w:val="42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/>
                <w:lang w:val="en-US" w:eastAsia="zh-CN"/>
              </w:rPr>
              <w:t>22/7/2026</w:t>
            </w:r>
          </w:p>
        </w:tc>
        <w:tc>
          <w:tcPr>
            <w:tcW w:w="1152" w:type="dxa"/>
          </w:tcPr>
          <w:p>
            <w:pPr>
              <w:pStyle w:val="42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/>
                <w:lang w:val="en-US" w:eastAsia="zh-CN"/>
              </w:rPr>
              <w:t>2.0</w:t>
            </w:r>
          </w:p>
        </w:tc>
        <w:tc>
          <w:tcPr>
            <w:tcW w:w="3744" w:type="dxa"/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shd w:val="clear" w:color="auto" w:fill="auto"/>
                <w:lang w:val="en-US" w:eastAsia="zh-CN"/>
              </w:rPr>
              <w:t>简化用例视图、重写逻辑视图、增加了算法视图、安全性视图等简述</w:t>
            </w:r>
          </w:p>
        </w:tc>
        <w:tc>
          <w:tcPr>
            <w:tcW w:w="2304" w:type="dxa"/>
          </w:tcPr>
          <w:p>
            <w:pPr>
              <w:pStyle w:val="42"/>
              <w:ind w:firstLine="800" w:firstLineChars="5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桂寅瑞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pStyle w:val="42"/>
            </w:pPr>
          </w:p>
        </w:tc>
        <w:tc>
          <w:tcPr>
            <w:tcW w:w="1152" w:type="dxa"/>
          </w:tcPr>
          <w:p>
            <w:pPr>
              <w:pStyle w:val="42"/>
            </w:pPr>
          </w:p>
        </w:tc>
        <w:tc>
          <w:tcPr>
            <w:tcW w:w="3744" w:type="dxa"/>
          </w:tcPr>
          <w:p>
            <w:pPr>
              <w:pStyle w:val="42"/>
            </w:pPr>
          </w:p>
        </w:tc>
        <w:tc>
          <w:tcPr>
            <w:tcW w:w="2304" w:type="dxa"/>
          </w:tcPr>
          <w:p>
            <w:pPr>
              <w:pStyle w:val="42"/>
            </w:pPr>
          </w:p>
        </w:tc>
      </w:tr>
    </w:tbl>
    <w:p/>
    <w:p>
      <w:pPr>
        <w:pStyle w:val="30"/>
      </w:pPr>
      <w:r>
        <w:br w:type="page"/>
      </w:r>
      <w:r>
        <w:rPr>
          <w:rFonts w:hint="eastAsia"/>
        </w:rPr>
        <w:t>目录</w:t>
      </w:r>
    </w:p>
    <w:p>
      <w:pPr>
        <w:pStyle w:val="22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>1.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简介</w:t>
      </w:r>
      <w:r>
        <w:tab/>
      </w:r>
      <w:r>
        <w:fldChar w:fldCharType="begin"/>
      </w:r>
      <w:r>
        <w:instrText xml:space="preserve"> PAGEREF _Toc181629328 \h </w:instrText>
      </w:r>
      <w:r>
        <w:fldChar w:fldCharType="separate"/>
      </w:r>
      <w:r>
        <w:t>4</w:t>
      </w:r>
      <w:r>
        <w:fldChar w:fldCharType="end"/>
      </w:r>
    </w:p>
    <w:p>
      <w:pPr>
        <w:pStyle w:val="27"/>
        <w:tabs>
          <w:tab w:val="left" w:pos="10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_Toc181629329 \h </w:instrText>
      </w:r>
      <w:r>
        <w:fldChar w:fldCharType="separate"/>
      </w:r>
      <w:r>
        <w:t>4</w:t>
      </w:r>
      <w:r>
        <w:fldChar w:fldCharType="end"/>
      </w:r>
    </w:p>
    <w:p>
      <w:pPr>
        <w:pStyle w:val="22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2.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用例视图</w:t>
      </w:r>
      <w:r>
        <w:tab/>
      </w:r>
      <w:r>
        <w:fldChar w:fldCharType="begin"/>
      </w:r>
      <w:r>
        <w:instrText xml:space="preserve"> PAGEREF _Toc181629331 \h </w:instrText>
      </w:r>
      <w:r>
        <w:fldChar w:fldCharType="separate"/>
      </w:r>
      <w:r>
        <w:t>4</w:t>
      </w:r>
      <w:r>
        <w:fldChar w:fldCharType="end"/>
      </w:r>
    </w:p>
    <w:p>
      <w:pPr>
        <w:pStyle w:val="22"/>
        <w:tabs>
          <w:tab w:val="left" w:pos="432"/>
        </w:tabs>
        <w:rPr>
          <w:rFonts w:hint="eastAsia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3.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逻辑视图</w:t>
      </w:r>
      <w:r>
        <w:tab/>
      </w:r>
      <w:r>
        <w:rPr>
          <w:rFonts w:hint="eastAsia"/>
          <w:lang w:val="en-US" w:eastAsia="zh-CN"/>
        </w:rPr>
        <w:t>7</w:t>
      </w:r>
    </w:p>
    <w:p>
      <w:pPr>
        <w:pStyle w:val="22"/>
        <w:tabs>
          <w:tab w:val="left" w:pos="432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4.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部署视图</w:t>
      </w:r>
      <w:r>
        <w:tab/>
      </w:r>
      <w:r>
        <w:rPr>
          <w:rFonts w:hint="eastAsia"/>
          <w:lang w:val="en-US" w:eastAsia="zh-CN"/>
        </w:rPr>
        <w:t>10</w:t>
      </w:r>
    </w:p>
    <w:p>
      <w:pPr>
        <w:pStyle w:val="22"/>
        <w:tabs>
          <w:tab w:val="left" w:pos="432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5.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进程视图</w:t>
      </w:r>
      <w:r>
        <w:tab/>
      </w:r>
      <w:r>
        <w:rPr>
          <w:rFonts w:hint="eastAsia"/>
          <w:lang w:val="en-US" w:eastAsia="zh-CN"/>
        </w:rPr>
        <w:t>10</w:t>
      </w:r>
    </w:p>
    <w:p>
      <w:pPr>
        <w:pStyle w:val="22"/>
        <w:tabs>
          <w:tab w:val="left" w:pos="432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6.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实现视图</w:t>
      </w:r>
      <w:r>
        <w:tab/>
      </w:r>
      <w:r>
        <w:rPr>
          <w:rFonts w:hint="eastAsia"/>
          <w:lang w:val="en-US" w:eastAsia="zh-CN"/>
        </w:rPr>
        <w:t>12</w:t>
      </w:r>
    </w:p>
    <w:p>
      <w:pPr>
        <w:pStyle w:val="22"/>
        <w:tabs>
          <w:tab w:val="left" w:pos="432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7.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技术视图</w:t>
      </w:r>
      <w:r>
        <w:tab/>
      </w:r>
      <w:r>
        <w:rPr>
          <w:rFonts w:hint="eastAsia"/>
          <w:lang w:val="en-US" w:eastAsia="zh-CN"/>
        </w:rPr>
        <w:t>12</w:t>
      </w:r>
    </w:p>
    <w:p>
      <w:pPr>
        <w:pStyle w:val="22"/>
        <w:tabs>
          <w:tab w:val="left" w:pos="432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8.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数据视图</w:t>
      </w:r>
      <w:r>
        <w:tab/>
      </w:r>
      <w:r>
        <w:rPr>
          <w:rFonts w:hint="eastAsia"/>
          <w:lang w:val="en-US" w:eastAsia="zh-CN"/>
        </w:rPr>
        <w:t>13</w:t>
      </w:r>
    </w:p>
    <w:p>
      <w:pPr>
        <w:pStyle w:val="22"/>
        <w:tabs>
          <w:tab w:val="left" w:pos="432"/>
        </w:tabs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  算法视图                                                                        13</w:t>
      </w:r>
    </w:p>
    <w:p>
      <w:pPr>
        <w:pStyle w:val="22"/>
        <w:tabs>
          <w:tab w:val="left" w:pos="432"/>
        </w:tabs>
        <w:ind w:left="400" w:hanging="400" w:hanging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 性能视图                                                                        13</w:t>
      </w:r>
    </w:p>
    <w:p>
      <w:pPr>
        <w:pStyle w:val="22"/>
        <w:tabs>
          <w:tab w:val="left" w:pos="432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rPr>
          <w:rFonts w:hint="eastAsia"/>
          <w:lang w:val="en-US" w:eastAsia="zh-CN"/>
        </w:rPr>
        <w:t>11</w:t>
      </w:r>
      <w:r>
        <w:t>.</w:t>
      </w:r>
      <w:r>
        <w:rPr>
          <w:rFonts w:hint="eastAsia"/>
          <w:lang w:val="en-US" w:eastAsia="zh-CN"/>
        </w:rPr>
        <w:t xml:space="preserve"> </w:t>
      </w:r>
      <w:r>
        <w:t>可靠性视</w:t>
      </w:r>
      <w:r>
        <w:rPr>
          <w:rFonts w:hint="eastAsia"/>
          <w:lang w:val="en-US" w:eastAsia="zh-CN"/>
        </w:rPr>
        <w:t>图                                                                      14</w:t>
      </w:r>
    </w:p>
    <w:p>
      <w:pPr>
        <w:pStyle w:val="22"/>
        <w:tabs>
          <w:tab w:val="left" w:pos="864"/>
        </w:tabs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12. 安全性视图                                                                      14</w:t>
      </w:r>
    </w:p>
    <w:p>
      <w:pPr>
        <w:pStyle w:val="22"/>
        <w:tabs>
          <w:tab w:val="left" w:pos="864"/>
        </w:tabs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13. </w:t>
      </w:r>
      <w:r>
        <w:t>易用性视图</w:t>
      </w:r>
      <w:r>
        <w:rPr>
          <w:rFonts w:hint="eastAsia"/>
          <w:lang w:val="en-US" w:eastAsia="zh-CN"/>
        </w:rPr>
        <w:t xml:space="preserve">                                                                      14</w:t>
      </w:r>
    </w:p>
    <w:p>
      <w:pPr>
        <w:pStyle w:val="22"/>
        <w:tabs>
          <w:tab w:val="left" w:pos="864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</w:t>
      </w:r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 xml:space="preserve"> 可维护性视图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begin"/>
      </w:r>
      <w:r>
        <w:instrText xml:space="preserve"> PAGEREF _Toc181629342 \h </w:instrText>
      </w:r>
      <w:r>
        <w:fldChar w:fldCharType="separate"/>
      </w:r>
      <w:r>
        <w:t>5</w:t>
      </w:r>
      <w:r>
        <w:fldChar w:fldCharType="end"/>
      </w:r>
    </w:p>
    <w:p>
      <w:pPr>
        <w:pStyle w:val="30"/>
      </w:pPr>
      <w:r>
        <w:rPr>
          <w:rFonts w:ascii="Times New Roman"/>
        </w:rPr>
        <w:fldChar w:fldCharType="end"/>
      </w:r>
    </w:p>
    <w:p/>
    <w:p/>
    <w:p/>
    <w:p/>
    <w:p/>
    <w:p/>
    <w:p>
      <w:pPr>
        <w:pStyle w:val="30"/>
        <w:tabs>
          <w:tab w:val="left" w:pos="5340"/>
        </w:tabs>
        <w:jc w:val="left"/>
      </w:pPr>
      <w:r>
        <w:tab/>
      </w:r>
    </w:p>
    <w:p>
      <w:pPr>
        <w:pStyle w:val="30"/>
        <w:outlineLvl w:val="0"/>
        <w:rPr>
          <w:rFonts w:ascii="Arial" w:hAnsi="Arial"/>
        </w:rPr>
      </w:pPr>
      <w:r>
        <w:br w:type="page"/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软件架构文档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</w:p>
    <w:p>
      <w:pPr>
        <w:pStyle w:val="2"/>
        <w:ind w:left="360" w:hanging="360"/>
      </w:pPr>
      <w:bookmarkStart w:id="0" w:name="_Toc181629328"/>
      <w:r>
        <w:rPr>
          <w:rFonts w:hint="eastAsia"/>
        </w:rPr>
        <w:t>简介</w:t>
      </w:r>
      <w:bookmarkEnd w:id="0"/>
    </w:p>
    <w:p>
      <w:pPr>
        <w:pStyle w:val="3"/>
      </w:pPr>
      <w:bookmarkStart w:id="1" w:name="_Toc181629329"/>
      <w:r>
        <w:rPr>
          <w:rFonts w:hint="eastAsia"/>
        </w:rPr>
        <w:t>目的</w:t>
      </w:r>
      <w:bookmarkEnd w:id="1"/>
    </w:p>
    <w:p>
      <w:pPr>
        <w:ind w:left="720"/>
        <w:rPr>
          <w:rFonts w:hint="eastAsia"/>
          <w:lang w:val="en-US" w:eastAsia="zh-CN"/>
        </w:rPr>
      </w:pPr>
      <w:bookmarkStart w:id="2" w:name="_Toc181629330"/>
      <w:r>
        <w:rPr>
          <w:rFonts w:hint="eastAsia"/>
          <w:lang w:val="en-US" w:eastAsia="zh-CN"/>
        </w:rPr>
        <w:t>本文档是 BioNote（生物实验记录助手）的软件架构文档（Software Architecture Document），从架构层面对系统进行综合概述，并通过多种架构视图分别描述系统在部署、易用性、技术选型与可靠性等方面的关键决策。文档用于记录并传达项目组已就系统架构达成的重要约定，为后续设计细化、分工开发、联调合并与验收提供统一依据。</w:t>
      </w:r>
    </w:p>
    <w:p>
      <w:pPr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在整个项目文档体系中，本文档处于需求（如 Vision）与具体实现说明（如模块协作说明、接口契约）之间：向上承接业务目标与质量属性，向下约束模块划分、技术栈与部署方式，避免实现阶段出现架构层面的不一致。</w:t>
      </w:r>
    </w:p>
    <w:p>
      <w:pPr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文档结构大致包括：架构目标与范围说明、物理（部署）架构视图、易用性架构视图、技术架构视图、可靠性架构视图，以及对各视图的简要文字说明。各视图相互补充，共同构成对系统架构的完整表述。</w:t>
      </w:r>
    </w:p>
    <w:p>
      <w:pPr>
        <w:ind w:left="7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推荐使用人员：项目组成员（前后端开发）、架构/技术负责人、测试与验收人员</w:t>
      </w:r>
    </w:p>
    <w:p>
      <w:pPr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建议：先浏览本文「目的」与各视图文字说明，建立整体认识；再按职责查阅对应视图（如运维关注物理视图，前端关注易用性视图，全员需了解技术视图与可靠性视图）。若实现细节与本文冲突，应以经评审更新后的架构决策为准，并同步修订本文档。</w:t>
      </w:r>
    </w:p>
    <w:bookmarkEnd w:id="2"/>
    <w:p>
      <w:pPr>
        <w:pStyle w:val="2"/>
        <w:ind w:left="360" w:hanging="360"/>
      </w:pPr>
      <w:bookmarkStart w:id="3" w:name="_Toc181629331"/>
      <w:r>
        <w:rPr>
          <w:rFonts w:hint="eastAsia"/>
        </w:rPr>
        <w:t>用例视图</w:t>
      </w:r>
      <w:bookmarkEnd w:id="3"/>
    </w:p>
    <w:p>
      <w:pPr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具体用例数目过多，分为工作台模块、项目列表模块、项目详情模块、试验记录详情与展示模块、附件与文件管理模块、全局搜索与项目内搜索模块、项目内权限与协作追溯模块。</w:t>
      </w:r>
    </w:p>
    <w:p>
      <w:pPr>
        <w:ind w:left="720"/>
        <w:rPr>
          <w:rFonts w:ascii="宋体" w:hAnsi="宋体" w:eastAsia="宋体" w:cs="宋体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3017520</wp:posOffset>
                </wp:positionH>
                <wp:positionV relativeFrom="paragraph">
                  <wp:posOffset>13970</wp:posOffset>
                </wp:positionV>
                <wp:extent cx="10160" cy="4143375"/>
                <wp:effectExtent l="6350" t="0" r="8890" b="9525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931920" y="4803140"/>
                          <a:ext cx="10160" cy="414337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37.6pt;margin-top:1.1pt;height:326.25pt;width:0.8pt;z-index:251660288;mso-width-relative:page;mso-height-relative:page;" filled="f" stroked="t" coordsize="21600,21600" o:gfxdata="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EqCAI3aAAAACQEAAA8AAAAAAAAAAQAgAAAAIgAAAGRycy9kb3du&#10;cmV2LnhtbFBLAQIUABQAAAAIAIdO4kAwxTl0/QEAAM0DAAAOAAAAAAAAAAEAIAAAACkBAABkcnMv&#10;ZTJvRG9jLnhtbFBLBQYAAAAABgAGAFkBAACYBQAAAAA=&#10;">
                <v:fill on="f" focussize="0,0"/>
                <v:stroke weight="1pt" color="#000000 [3213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3213735</wp:posOffset>
                </wp:positionH>
                <wp:positionV relativeFrom="paragraph">
                  <wp:posOffset>165735</wp:posOffset>
                </wp:positionV>
                <wp:extent cx="3126740" cy="3994785"/>
                <wp:effectExtent l="0" t="0" r="10160" b="571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92295" y="5029200"/>
                          <a:ext cx="3126740" cy="3994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功能注释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·工作台子系统：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个人工作概览、统计、待办、最近项目/记录入口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·项目列表子系统：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项目的检索、筛选、新建、编辑、归档与列表浏览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·项目详情子系统：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单一项目上下文概览、记录列表、成员与活动入口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·试验记录详情与展示子系统：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试验记录的创建、编辑、详情展示、提交与审核流转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·附件与文件管理子系统：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项目文件与实验附件的上传、预览、下载与删除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·全局搜索与项目内搜索子系统：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跨项目全局搜索与限定项目范围的站内搜索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·项目内权限与协作追溯子系统：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项目级角色权限、成员协作与修改追溯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3.05pt;margin-top:13.05pt;height:314.55pt;width:246.2pt;z-index:251659264;mso-width-relative:page;mso-height-relative:page;" fillcolor="#FFFFFF [3201]" filled="t" stroked="f" coordsize="21600,21600" o:gfxdata="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byuh&#10;H9YAAAAKAQAADwAAAAAAAAABACAAAAAiAAAAZHJzL2Rvd25yZXYueG1sUEsBAhQAFAAAAAgAh07i&#10;QIRnQbpdAgAAnAQAAA4AAAAAAAAAAQAgAAAAJQ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功能注释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·工作台子系统：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个人工作概览、统计、待办、最近项目/记录入口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·项目列表子系统：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项目的检索、筛选、新建、编辑、归档与列表浏览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·项目详情子系统：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单一项目上下文概览、记录列表、成员与活动入口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·试验记录详情与展示子系统：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试验记录的创建、编辑、详情展示、提交与审核流转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·附件与文件管理子系统：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项目文件与实验附件的上传、预览、下载与删除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·全局搜索与项目内搜索子系统：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跨项目全局搜索与限定项目范围的站内搜索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·项目内权限与协作追溯子系统：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项目级角色权限、成员协作与修改追溯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90775" cy="4000500"/>
            <wp:effectExtent l="0" t="0" r="9525" b="0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72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center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84320" cy="3183255"/>
            <wp:effectExtent l="0" t="0" r="5080" b="4445"/>
            <wp:docPr id="28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3183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center"/>
        <w:rPr>
          <w:rFonts w:hint="eastAsia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26840" cy="2249170"/>
            <wp:effectExtent l="0" t="0" r="10160" b="11430"/>
            <wp:docPr id="29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6840" cy="2249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04335" cy="2537460"/>
            <wp:effectExtent l="0" t="0" r="12065" b="2540"/>
            <wp:docPr id="30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4335" cy="2537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39540" cy="3932555"/>
            <wp:effectExtent l="0" t="0" r="10160" b="4445"/>
            <wp:docPr id="31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3932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44770" cy="2975610"/>
            <wp:effectExtent l="0" t="0" r="11430" b="8890"/>
            <wp:docPr id="32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6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01210" cy="3427730"/>
            <wp:effectExtent l="0" t="0" r="8890" b="1270"/>
            <wp:docPr id="33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7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3427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55615" cy="2268855"/>
            <wp:effectExtent l="0" t="0" r="6985" b="4445"/>
            <wp:docPr id="34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8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5615" cy="2268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eastAsia="宋体"/>
          <w:lang w:eastAsia="zh-CN"/>
        </w:rPr>
      </w:pPr>
    </w:p>
    <w:p>
      <w:pPr>
        <w:pStyle w:val="2"/>
        <w:ind w:left="360" w:hanging="360"/>
      </w:pPr>
      <w:bookmarkStart w:id="4" w:name="_Toc181629332"/>
      <w:r>
        <w:rPr>
          <w:rFonts w:hint="eastAsia"/>
        </w:rPr>
        <w:t>逻辑视图</w:t>
      </w:r>
      <w:bookmarkEnd w:id="4"/>
    </w:p>
    <w:p>
      <w:pPr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BioNote系统的核心业务对象主要包括用户、项目、实验记录、实验模板、附件文件、项目成员、权限、修改历史、搜索结果、报告等。</w:t>
      </w:r>
    </w:p>
    <w:p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其中，项目是系统的核心聚合对象，一个项目包含多个实验记录、项目文件、项目成员和协作追溯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记录；实验记录是系统的核心业务对象，由实验步骤、实验条件、实验结果和实验附件组成；用户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通过项目成员关系参与项目，并根据项目角色获得不同权限；系统通过修改历史和成员活动实现协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作追溯；数据展示与报告导出模块基于实验结果生成数据表格、趋势图和导出报告。</w:t>
      </w:r>
    </w:p>
    <w:p>
      <w:pPr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本系统后端采用 Controller → Service → DTO → Repository → Entity 分层，Utils（common/security）提供横切支撑。逻辑视图按业务拆为 Auth、Dashboard、Project、Template、Record、Collaboration、File/Search/Report 七张，各类职责清晰、跨模块经 Service 协作，避免 Entity 直接外泄。</w:t>
      </w:r>
    </w:p>
    <w:p>
      <w:pPr>
        <w:pStyle w:val="49"/>
        <w:rPr>
          <w:rFonts w:hint="eastAsia" w:eastAsia="宋体"/>
          <w:lang w:eastAsia="zh-CN"/>
        </w:rPr>
      </w:pPr>
    </w:p>
    <w:p>
      <w:pPr>
        <w:pStyle w:val="14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96715" cy="2971165"/>
            <wp:effectExtent l="0" t="0" r="6985" b="635"/>
            <wp:docPr id="35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9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6715" cy="2971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36390" cy="2439670"/>
            <wp:effectExtent l="0" t="0" r="3810" b="11430"/>
            <wp:docPr id="36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0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6390" cy="2439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59985" cy="2494915"/>
            <wp:effectExtent l="0" t="0" r="5715" b="6985"/>
            <wp:docPr id="37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1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9985" cy="2494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21910" cy="2454910"/>
            <wp:effectExtent l="0" t="0" r="8890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1910" cy="2454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10160</wp:posOffset>
            </wp:positionH>
            <wp:positionV relativeFrom="paragraph">
              <wp:posOffset>2716530</wp:posOffset>
            </wp:positionV>
            <wp:extent cx="6362065" cy="2555875"/>
            <wp:effectExtent l="0" t="0" r="635" b="9525"/>
            <wp:wrapTopAndBottom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62065" cy="255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699125" cy="2604135"/>
            <wp:effectExtent l="0" t="0" r="3175" b="12065"/>
            <wp:wrapTopAndBottom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2604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14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left="360" w:hanging="360"/>
        <w:rPr>
          <w:rFonts w:hint="eastAsia" w:eastAsia="宋体"/>
          <w:lang w:eastAsia="zh-CN"/>
        </w:rPr>
      </w:pPr>
      <w:bookmarkStart w:id="5" w:name="_Toc181629333"/>
      <w:r>
        <w:rPr>
          <w:rFonts w:hint="eastAsia"/>
        </w:rPr>
        <w:t>部署视图</w:t>
      </w:r>
      <w:bookmarkEnd w:id="5"/>
    </w:p>
    <w:p>
      <w:pPr>
        <w:bidi w:val="0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704215</wp:posOffset>
            </wp:positionH>
            <wp:positionV relativeFrom="paragraph">
              <wp:posOffset>1081405</wp:posOffset>
            </wp:positionV>
            <wp:extent cx="4566920" cy="4772660"/>
            <wp:effectExtent l="0" t="0" r="5080" b="2540"/>
            <wp:wrapTopAndBottom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6920" cy="4772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BioNote 采用客户端-服务器端双层物理拓扑，将用户终端与后端基础设施分离部署。客户端区域包含 PC 工作站和移动设备，通过 HTTPS 接入服务器端；服务器端区域由 Web 服务器（Nginx 反向代理）、应用服务器（JDK 21 + Spring Boot 3.2）、数据库服务器（MySQL 8.4）和文件存储服务器（NAS）组成，各节点之间通过 LAN 以太网连接和点到点 TCP 连接进行通信，并辅以进程-物理节点映射关系表，明确每个进程的运行位置。</w:t>
      </w:r>
    </w:p>
    <w:p>
      <w:pPr>
        <w:bidi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left="360" w:hanging="360"/>
      </w:pPr>
      <w:bookmarkStart w:id="6" w:name="_Toc181629334"/>
      <w:r>
        <w:rPr>
          <w:rFonts w:hint="eastAsia"/>
        </w:rPr>
        <w:t>进程视图</w:t>
      </w:r>
      <w:bookmarkEnd w:id="6"/>
    </w:p>
    <w:p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BioNote 将系统运行时划分为五个进程组：前端客户端、Web 服务器、应用服务器、数据库引擎和文件存储系统，按重量级进程（进程容器）和轻量级进程（控制线程）分层组织。前端客户端进程组包含浏览器主进程、UI 渲染线程、API 请求线程和 IndexedDB 草稿线程；应用服务器进程组涵盖安全过滤器、控制层、业务服务层、数据访问层和基础设施层的多个轻量级服务进程。各进程组之间通过消息传递、会合（Rendezvous）和中断+系统调用三种通信模式协同工作，覆盖从用户请求到数据持久化的完整调用链。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73065" cy="8141335"/>
            <wp:effectExtent l="0" t="0" r="635" b="12065"/>
            <wp:docPr id="1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8141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14" w:name="_GoBack"/>
      <w:bookmarkEnd w:id="14"/>
    </w:p>
    <w:p>
      <w:pPr>
        <w:bidi w:val="0"/>
        <w:jc w:val="center"/>
        <w:rPr>
          <w:rFonts w:hint="eastAsia" w:hAnsi="宋体" w:cs="宋体"/>
          <w:sz w:val="24"/>
          <w:szCs w:val="24"/>
          <w:lang w:val="en-US" w:eastAsia="zh-CN"/>
        </w:rPr>
      </w:pPr>
    </w:p>
    <w:p>
      <w:pPr>
        <w:bidi w:val="0"/>
        <w:jc w:val="center"/>
        <w:outlineLvl w:val="1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>下图表示进程与物理节点间的映射关系</w:t>
      </w:r>
    </w:p>
    <w:p>
      <w:pPr>
        <w:bidi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left="360" w:hanging="360"/>
      </w:pPr>
      <w:bookmarkStart w:id="7" w:name="_Toc181629335"/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-836930</wp:posOffset>
            </wp:positionH>
            <wp:positionV relativeFrom="paragraph">
              <wp:posOffset>30480</wp:posOffset>
            </wp:positionV>
            <wp:extent cx="7482205" cy="2775585"/>
            <wp:effectExtent l="0" t="0" r="10795" b="5715"/>
            <wp:wrapTopAndBottom/>
            <wp:docPr id="21" name="图片 21" descr="微信图片_20260717161059_365_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微信图片_20260717161059_365_70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48220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实现视图</w:t>
      </w:r>
      <w:bookmarkEnd w:id="7"/>
    </w:p>
    <w:p>
      <w:pPr>
        <w:pStyle w:val="14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本系统以单体应用部署，各业务模块编译、打包为同一可执行单元，统一安装运行于同一应用服务器；组件与物理节点之间无复杂多进程/多制品映射关系，实现结构已由逻辑视图与部署图覆盖，故不单独绘制实现视图。</w:t>
      </w:r>
    </w:p>
    <w:p>
      <w:pPr>
        <w:pStyle w:val="2"/>
        <w:ind w:left="360" w:hanging="360"/>
      </w:pPr>
      <w:bookmarkStart w:id="8" w:name="_Toc54212214"/>
      <w:bookmarkStart w:id="9" w:name="_Toc181629336"/>
      <w:r>
        <w:rPr>
          <w:rFonts w:hint="eastAsia"/>
        </w:rPr>
        <w:t>技</w:t>
      </w:r>
      <w:r>
        <w:t>术</w:t>
      </w:r>
      <w:r>
        <w:rPr>
          <w:rFonts w:hint="eastAsia"/>
        </w:rPr>
        <w:t>视图</w:t>
      </w:r>
      <w:bookmarkEnd w:id="8"/>
      <w:bookmarkEnd w:id="9"/>
    </w:p>
    <w:p>
      <w:pPr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本视图描述技术选型与分层组装方式。语言以 JavaScript/ESM 为主；前端 React + Vite + Router + Zustand；后端 Node + Express + Prisma；库为 MySQL；配套 JWT/bcrypt、Helmet/CORS、Multer、Socket.IO、node-cron、xlsx 等。开发工具含 IDE、npm、Nodemon、Prisma Studio、Git。说明「用什么技术、各层职责如何衔接」，不展开业务细节。</w:t>
      </w:r>
    </w:p>
    <w:p>
      <w:pPr>
        <w:pStyle w:val="49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-228600</wp:posOffset>
            </wp:positionH>
            <wp:positionV relativeFrom="paragraph">
              <wp:posOffset>142875</wp:posOffset>
            </wp:positionV>
            <wp:extent cx="6631940" cy="2479040"/>
            <wp:effectExtent l="0" t="0" r="10160" b="10160"/>
            <wp:wrapTopAndBottom/>
            <wp:docPr id="13" name="图片 13" descr="343ba33d5a1114e687c40d5409581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43ba33d5a1114e687c40d5409581aaa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4"/>
      </w:pPr>
    </w:p>
    <w:p>
      <w:pPr>
        <w:pStyle w:val="2"/>
        <w:ind w:left="360" w:hanging="360"/>
      </w:pPr>
      <w:bookmarkStart w:id="10" w:name="_Toc181629337"/>
      <w:bookmarkStart w:id="11" w:name="_Toc54212215"/>
      <w:r>
        <w:rPr>
          <w:rFonts w:hint="eastAsia"/>
        </w:rPr>
        <w:t>数据视图</w:t>
      </w:r>
      <w:bookmarkEnd w:id="10"/>
      <w:bookmarkEnd w:id="11"/>
    </w:p>
    <w:p>
      <w:pPr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BioNote 采用 MySQL 8.4 关系型数据库作为永久性数据存储，并通过 Flyway 进行版本化 SQL 迁移管理，保证数据库结构的可追溯性和可复现性。系统围绕生物实验记录这一核心领域设计数据模型，共包含用户与权限、项目与模板、实验记录、协作与审计四类数据实体，分别负责用户管理、项目组织、实验内容存储以及操作追踪。数据库采用 UUID 作为统一主键，通过 version 字段实现乐观锁控制，并利用 JSON 字段支持实验内容、模板配置和版本快照的灵活扩展；同时将附件文件与数据库分离存储，仅保存文件元数据，并结合软删除机制提高存储效率和数据安全性。系统通过实验记录版本表和活动日志表建立完整的审计链，支持实验数据历史追踪与协作管理，预计满足百级用户、千级项目和万级实验记录规模下的稳定运行需求。</w:t>
      </w:r>
    </w:p>
    <w:p>
      <w:pPr>
        <w:pStyle w:val="49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682105" cy="3655695"/>
            <wp:effectExtent l="0" t="0" r="10795" b="1905"/>
            <wp:docPr id="1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82105" cy="3655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</w:pPr>
      <w:r>
        <w:rPr>
          <w:rFonts w:hint="eastAsia"/>
          <w:lang w:val="en-US" w:eastAsia="zh-CN"/>
        </w:rPr>
        <w:t>算法视图</w:t>
      </w:r>
    </w:p>
    <w:p>
      <w:pPr>
        <w:ind w:firstLine="720" w:firstLineChars="0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本系统以实验记录管理、权限协作、文件存储与检索等业务编排为主，核心价值在流程与数据一致</w:t>
      </w:r>
      <w:r>
        <w:rPr>
          <w:rFonts w:hint="eastAsia" w:cs="Times New Roman"/>
          <w:i w:val="0"/>
          <w:snapToGrid w:val="0"/>
          <w:color w:val="auto"/>
          <w:lang w:val="en-US" w:eastAsia="zh-CN" w:bidi="ar-SA"/>
        </w:rPr>
        <w:tab/>
      </w: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性，而非数值计算或复杂算法；无独立、需单独说明的核心运算算法，故不单独给出算法视图。</w:t>
      </w:r>
    </w:p>
    <w:p>
      <w:pPr>
        <w:ind w:firstLine="720" w:firstLineChars="0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</w:p>
    <w:p>
      <w:pPr>
        <w:ind w:firstLine="720" w:firstLineChars="0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性能视图</w:t>
      </w:r>
    </w:p>
    <w:p>
      <w:pPr>
        <w:ind w:firstLine="720" w:firstLineChars="0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本系统面向课程演示与中小规模实验室场景，负载以常规 CRUD、文件读写和关键词检索为主，未</w:t>
      </w:r>
      <w:r>
        <w:rPr>
          <w:rFonts w:hint="eastAsia" w:cs="Times New Roman"/>
          <w:i w:val="0"/>
          <w:snapToGrid w:val="0"/>
          <w:color w:val="auto"/>
          <w:lang w:val="en-US" w:eastAsia="zh-CN" w:bidi="ar-SA"/>
        </w:rPr>
        <w:tab/>
      </w:r>
      <w:r>
        <w:rPr>
          <w:rFonts w:hint="eastAsia" w:cs="Times New Roman"/>
          <w:i w:val="0"/>
          <w:snapToGrid w:val="0"/>
          <w:color w:val="auto"/>
          <w:lang w:val="en-US" w:eastAsia="zh-CN" w:bidi="ar-SA"/>
        </w:rPr>
        <w:tab/>
      </w: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引入独立缓存、消息队列或分布式计算等性能关键架构；性能目标通过常规工程手段（索引、分页、</w:t>
      </w:r>
      <w:r>
        <w:rPr>
          <w:rFonts w:hint="eastAsia" w:cs="Times New Roman"/>
          <w:i w:val="0"/>
          <w:snapToGrid w:val="0"/>
          <w:color w:val="auto"/>
          <w:lang w:val="en-US" w:eastAsia="zh-CN" w:bidi="ar-SA"/>
        </w:rPr>
        <w:tab/>
      </w: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权限过滤）即可满足，暂无需要单独刻画的性能约束与优化策略，故不绘制性能视图。</w:t>
      </w:r>
    </w:p>
    <w:p>
      <w:pPr>
        <w:ind w:firstLine="720" w:firstLineChars="0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</w:p>
    <w:p>
      <w:pPr>
        <w:ind w:firstLine="720" w:firstLineChars="0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</w:p>
    <w:p>
      <w:pPr>
        <w:ind w:firstLine="720" w:firstLineChars="0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</w:p>
    <w:p>
      <w:pPr>
        <w:pStyle w:val="2"/>
        <w:ind w:left="360" w:hanging="360"/>
      </w:pPr>
      <w:bookmarkStart w:id="12" w:name="_Toc181629340"/>
      <w:r>
        <w:rPr>
          <w:rFonts w:hint="eastAsia"/>
        </w:rPr>
        <w:t>可靠性视图</w:t>
      </w:r>
      <w:bookmarkEnd w:id="12"/>
    </w:p>
    <w:p>
      <w:pPr>
        <w:pStyle w:val="49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本视图描述如何保证少出错、数据一致、故障可感知。入口有鉴权、限流与安全头；请求经校验与 asyncHandler 上抛；业务错误用 AppError，由全局 errorHandler（含 Prisma/Multer 映射）统一返回；建草稿等用事务保证原子性；草稿隔离与删除/审核状态约束防止误操作与脏数据。对应「防滥用、保正确、保一致、可恢复」几类可靠性目标。</w:t>
      </w:r>
    </w:p>
    <w:p>
      <w:pPr>
        <w:pStyle w:val="49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02860" cy="4069080"/>
            <wp:effectExtent l="0" t="0" r="2540" b="7620"/>
            <wp:docPr id="15" name="图片 15" descr="72c8a4a49f39b33a9db99765c07bcd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72c8a4a49f39b33a9db99765c07bcdd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安全性视图</w:t>
      </w:r>
    </w:p>
    <w:p>
      <w:pPr>
        <w:ind w:firstLine="720" w:firstLineChars="0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 xml:space="preserve">本系统安全需求以登录认证与项目级角色权限为主，采用 JWT + Spring Security 及固定 RBAC </w:t>
      </w:r>
      <w:r>
        <w:rPr>
          <w:rFonts w:hint="eastAsia" w:cs="Times New Roman"/>
          <w:i w:val="0"/>
          <w:snapToGrid w:val="0"/>
          <w:color w:val="auto"/>
          <w:lang w:val="en-US" w:eastAsia="zh-CN" w:bidi="ar-SA"/>
        </w:rPr>
        <w:tab/>
      </w: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即可覆盖；未引入复杂安全域划分、多租户隔离或专用安全中间件，安全策略已体现在逻辑视图与</w:t>
      </w:r>
      <w:r>
        <w:rPr>
          <w:rFonts w:hint="eastAsia" w:cs="Times New Roman"/>
          <w:i w:val="0"/>
          <w:snapToGrid w:val="0"/>
          <w:color w:val="auto"/>
          <w:lang w:val="en-US" w:eastAsia="zh-CN" w:bidi="ar-SA"/>
        </w:rPr>
        <w:tab/>
      </w: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用例约束中，故不单独绘制安全性视图。</w:t>
      </w:r>
    </w:p>
    <w:p>
      <w:pPr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pStyle w:val="2"/>
        <w:ind w:left="360" w:hanging="360"/>
      </w:pPr>
      <w:bookmarkStart w:id="13" w:name="_Toc181629342"/>
      <w:r>
        <w:rPr>
          <w:rFonts w:hint="eastAsia"/>
        </w:rPr>
        <w:t>易用性视图</w:t>
      </w:r>
      <w:bookmarkEnd w:id="13"/>
    </w:p>
    <w:p>
      <w:pPr>
        <w:pStyle w:val="49"/>
        <w:jc w:val="left"/>
        <w:rPr>
          <w:rFonts w:hint="eastAsia"/>
          <w:lang w:val="en-US" w:eastAsia="zh-CN"/>
        </w:rPr>
      </w:pP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BioNote采用前后端分离和分层架构，将用户界面与业务逻辑、数据存储分离。前端通过统一的响应式界面、实验模板和清晰导航，将实验记录创建控制在3～5步内；同时提供表单校验、操作反馈、上下文帮助、草稿自动保存和异常恢复功能，降低学习成本和误操作风险，使用户能够快速完成实验记录、附件上传与历史搜索等核心任务。</w:t>
      </w:r>
    </w:p>
    <w:p>
      <w:pPr>
        <w:pStyle w:val="49"/>
        <w:jc w:val="left"/>
        <w:rPr>
          <w:rFonts w:hint="eastAsia" w:eastAsia="宋体"/>
          <w:lang w:eastAsia="zh-CN"/>
        </w:rPr>
      </w:pP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-151130</wp:posOffset>
            </wp:positionH>
            <wp:positionV relativeFrom="page">
              <wp:posOffset>1164590</wp:posOffset>
            </wp:positionV>
            <wp:extent cx="6503670" cy="3056890"/>
            <wp:effectExtent l="0" t="0" r="11430" b="3810"/>
            <wp:wrapTopAndBottom/>
            <wp:docPr id="14" name="图片 14" descr="a354b3a9ab703f37654ef964024414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a354b3a9ab703f37654ef964024414bc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0367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可维护性视图</w:t>
      </w:r>
    </w:p>
    <w:p>
      <w:pPr>
        <w:ind w:firstLine="720" w:firstLineChars="0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系统采用单体分模块与统一分层（Controller–Service–DTO–Repository–Entity），模块边界</w:t>
      </w:r>
      <w:r>
        <w:rPr>
          <w:rFonts w:hint="eastAsia" w:cs="Times New Roman"/>
          <w:i w:val="0"/>
          <w:snapToGrid w:val="0"/>
          <w:color w:val="auto"/>
          <w:lang w:val="en-US" w:eastAsia="zh-CN" w:bidi="ar-SA"/>
        </w:rPr>
        <w:tab/>
      </w: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与依赖规则已在逻辑视图和模块划分中说明；本阶段无额外的可维护性关键架构决策（如插件化、</w:t>
      </w:r>
      <w:r>
        <w:rPr>
          <w:rFonts w:hint="eastAsia" w:cs="Times New Roman"/>
          <w:i w:val="0"/>
          <w:snapToGrid w:val="0"/>
          <w:color w:val="auto"/>
          <w:lang w:val="en-US" w:eastAsia="zh-CN" w:bidi="ar-SA"/>
        </w:rPr>
        <w:tab/>
      </w: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热更新、复杂配置中心），故不单独绘制可维护性视图。</w:t>
      </w:r>
    </w:p>
    <w:p>
      <w:pP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</w:p>
    <w:sectPr>
      <w:headerReference r:id="rId6" w:type="default"/>
      <w:footerReference r:id="rId7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/>
            </w:rPr>
            <w:t>&lt;SJTU&gt;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>
            <w:rPr>
              <w:rFonts w:hint="eastAsia" w:ascii="Times New Roman"/>
            </w:rPr>
            <w:t>2</w:t>
          </w:r>
          <w:r>
            <w:rPr>
              <w:rFonts w:ascii="Times New Roman"/>
            </w:rPr>
            <w:t>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34"/>
              <w:rFonts w:ascii="Times New Roman"/>
            </w:rPr>
            <w:fldChar w:fldCharType="begin"/>
          </w:r>
          <w:r>
            <w:rPr>
              <w:rStyle w:val="34"/>
              <w:rFonts w:ascii="Times New Roman"/>
            </w:rPr>
            <w:instrText xml:space="preserve"> PAGE </w:instrText>
          </w:r>
          <w:r>
            <w:rPr>
              <w:rStyle w:val="34"/>
              <w:rFonts w:ascii="Times New Roman"/>
            </w:rPr>
            <w:fldChar w:fldCharType="separate"/>
          </w:r>
          <w:r>
            <w:rPr>
              <w:rStyle w:val="34"/>
              <w:rFonts w:ascii="Times New Roman"/>
            </w:rPr>
            <w:t>2</w:t>
          </w:r>
          <w:r>
            <w:rPr>
              <w:rStyle w:val="34"/>
              <w:rFonts w:ascii="Times New Roman"/>
            </w:rPr>
            <w:fldChar w:fldCharType="end"/>
          </w:r>
          <w:r>
            <w:rPr>
              <w:rStyle w:val="34"/>
              <w:rFonts w:ascii="Times New Roman"/>
            </w:rPr>
            <w:t xml:space="preserve"> of </w:t>
          </w:r>
          <w:r>
            <w:rPr>
              <w:rStyle w:val="34"/>
              <w:rFonts w:ascii="Times New Roman"/>
            </w:rPr>
            <w:fldChar w:fldCharType="begin"/>
          </w:r>
          <w:r>
            <w:rPr>
              <w:rStyle w:val="34"/>
              <w:rFonts w:ascii="Times New Roman"/>
            </w:rPr>
            <w:instrText xml:space="preserve"> NUMPAGES  \* MERGEFORMAT </w:instrText>
          </w:r>
          <w:r>
            <w:rPr>
              <w:rStyle w:val="34"/>
              <w:rFonts w:ascii="Times New Roman"/>
            </w:rPr>
            <w:fldChar w:fldCharType="separate"/>
          </w:r>
          <w:r>
            <w:rPr>
              <w:rStyle w:val="34"/>
            </w:rPr>
            <w:t>5</w:t>
          </w:r>
          <w:r>
            <w:rPr>
              <w:rStyle w:val="34"/>
              <w:rFonts w:ascii="Times New Roman"/>
            </w:rPr>
            <w:fldChar w:fldCharType="end"/>
          </w:r>
        </w:p>
      </w:tc>
    </w:tr>
  </w:tbl>
  <w:p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sz w:val="24"/>
      </w:rPr>
    </w:pPr>
  </w:p>
  <w:p>
    <w:pPr>
      <w:pBdr>
        <w:top w:val="single" w:color="auto" w:sz="6" w:space="1"/>
      </w:pBdr>
      <w:rPr>
        <w:sz w:val="24"/>
      </w:rPr>
    </w:pPr>
  </w:p>
  <w:p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&lt;SJTU&gt;</w:t>
    </w:r>
    <w:r>
      <w:rPr>
        <w:rFonts w:ascii="Arial" w:hAnsi="Arial"/>
        <w:b/>
        <w:sz w:val="36"/>
      </w:rPr>
      <w:fldChar w:fldCharType="end"/>
    </w:r>
  </w:p>
  <w:p>
    <w:pPr>
      <w:pBdr>
        <w:bottom w:val="single" w:color="auto" w:sz="6" w:space="1"/>
      </w:pBdr>
      <w:jc w:val="right"/>
      <w:rPr>
        <w:sz w:val="24"/>
      </w:rPr>
    </w:pPr>
  </w:p>
  <w:p>
    <w:pPr>
      <w:pStyle w:val="2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SUBJECT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  <w:lang w:val="en-US" w:eastAsia="zh-CN"/>
            </w:rPr>
            <w:t>Bionote生物实验记录助手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</w:t>
          </w:r>
          <w:r>
            <w:rPr>
              <w:rFonts w:hint="eastAsia" w:ascii="Times New Roman"/>
              <w:lang w:val="en-US" w:eastAsia="zh-CN"/>
            </w:rPr>
            <w:t>2</w:t>
          </w:r>
          <w:r>
            <w:rPr>
              <w:rFonts w:ascii="Times New Roman"/>
            </w:rPr>
            <w:t>.0</w:t>
          </w:r>
        </w:p>
      </w:tc>
    </w:tr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软件架构文档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>
          <w:r>
            <w:rPr>
              <w:rFonts w:ascii="Times New Roman"/>
            </w:rPr>
            <w:t xml:space="preserve">  Date:  </w:t>
          </w:r>
          <w:r>
            <w:rPr>
              <w:rFonts w:hint="eastAsia" w:ascii="Times New Roman"/>
              <w:lang w:val="en-US" w:eastAsia="zh-CN"/>
            </w:rPr>
            <w:t xml:space="preserve"> 22</w:t>
          </w:r>
          <w:r>
            <w:rPr>
              <w:rFonts w:ascii="Times New Roman"/>
            </w:rPr>
            <w:t>/</w:t>
          </w:r>
          <w:r>
            <w:rPr>
              <w:rFonts w:hint="eastAsia" w:ascii="Times New Roman"/>
              <w:lang w:val="en-US" w:eastAsia="zh-CN"/>
            </w:rPr>
            <w:t>7</w:t>
          </w:r>
          <w:r>
            <w:rPr>
              <w:rFonts w:ascii="Times New Roman"/>
            </w:rPr>
            <w:t>/</w:t>
          </w:r>
          <w:r>
            <w:rPr>
              <w:rFonts w:hint="eastAsia" w:ascii="Times New Roman"/>
              <w:lang w:val="en-US" w:eastAsia="zh-CN"/>
            </w:rPr>
            <w:t>2026</w:t>
          </w:r>
        </w:p>
      </w:tc>
    </w:tr>
  </w:tbl>
  <w:p>
    <w:pPr>
      <w:pStyle w:val="2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</w:lvl>
    <w:lvl w:ilvl="1" w:tentative="0">
      <w:start w:val="1"/>
      <w:numFmt w:val="decimal"/>
      <w:pStyle w:val="3"/>
      <w:lvlText w:val="%1.%2"/>
      <w:lvlJc w:val="left"/>
    </w:lvl>
    <w:lvl w:ilvl="2" w:tentative="0">
      <w:start w:val="1"/>
      <w:numFmt w:val="decimal"/>
      <w:pStyle w:val="4"/>
      <w:lvlText w:val="%1.%2.%3"/>
      <w:lvlJc w:val="left"/>
    </w:lvl>
    <w:lvl w:ilvl="3" w:tentative="0">
      <w:start w:val="1"/>
      <w:numFmt w:val="decimal"/>
      <w:pStyle w:val="5"/>
      <w:lvlText w:val="%1.%2.%3.%4"/>
      <w:lvlJc w:val="left"/>
    </w:lvl>
    <w:lvl w:ilvl="4" w:tentative="0">
      <w:start w:val="1"/>
      <w:numFmt w:val="decimal"/>
      <w:pStyle w:val="6"/>
      <w:lvlText w:val="%1.%2.%3.%4.%5"/>
      <w:lvlJc w:val="left"/>
    </w:lvl>
    <w:lvl w:ilvl="5" w:tentative="0">
      <w:start w:val="1"/>
      <w:numFmt w:val="decimal"/>
      <w:pStyle w:val="7"/>
      <w:lvlText w:val="%1.%2.%3.%4.%5.%6"/>
      <w:lvlJc w:val="left"/>
    </w:lvl>
    <w:lvl w:ilvl="6" w:tentative="0">
      <w:start w:val="1"/>
      <w:numFmt w:val="decimal"/>
      <w:pStyle w:val="8"/>
      <w:lvlText w:val="%1.%2.%3.%4.%5.%6.%7"/>
      <w:lvlJc w:val="left"/>
    </w:lvl>
    <w:lvl w:ilvl="7" w:tentative="0">
      <w:start w:val="1"/>
      <w:numFmt w:val="decimal"/>
      <w:pStyle w:val="9"/>
      <w:lvlText w:val="%1.%2.%3.%4.%5.%6.%7.%8"/>
      <w:lvlJc w:val="left"/>
    </w:lvl>
    <w:lvl w:ilvl="8" w:tentative="0">
      <w:start w:val="1"/>
      <w:numFmt w:val="decimal"/>
      <w:pStyle w:val="10"/>
      <w:lvlText w:val="%1.%2.%3.%4.%5.%6.%7.%8.%9"/>
      <w:lvlJc w:val="left"/>
    </w:lvl>
  </w:abstractNum>
  <w:abstractNum w:abstractNumId="1">
    <w:nsid w:val="472F25FA"/>
    <w:multiLevelType w:val="multilevel"/>
    <w:tmpl w:val="472F25FA"/>
    <w:lvl w:ilvl="0" w:tentative="0">
      <w:start w:val="1"/>
      <w:numFmt w:val="decimal"/>
      <w:pStyle w:val="48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AzM2UwMzU4MmFhNmVlMDJlNGE5N2VkNGU3MmM0ZDYifQ=="/>
  </w:docVars>
  <w:rsids>
    <w:rsidRoot w:val="000C1E48"/>
    <w:rsid w:val="000C1E48"/>
    <w:rsid w:val="00175500"/>
    <w:rsid w:val="001761BA"/>
    <w:rsid w:val="001D0182"/>
    <w:rsid w:val="00290E3A"/>
    <w:rsid w:val="002B34A5"/>
    <w:rsid w:val="002C7325"/>
    <w:rsid w:val="003A46E4"/>
    <w:rsid w:val="00441B96"/>
    <w:rsid w:val="0047760A"/>
    <w:rsid w:val="004D595C"/>
    <w:rsid w:val="00510E8C"/>
    <w:rsid w:val="00575EF6"/>
    <w:rsid w:val="0079201D"/>
    <w:rsid w:val="00994872"/>
    <w:rsid w:val="009A3548"/>
    <w:rsid w:val="009C7C87"/>
    <w:rsid w:val="009E2047"/>
    <w:rsid w:val="00B4685C"/>
    <w:rsid w:val="00CC3BDD"/>
    <w:rsid w:val="00DD0E0A"/>
    <w:rsid w:val="00E14F4D"/>
    <w:rsid w:val="00EF4159"/>
    <w:rsid w:val="00FB1A25"/>
    <w:rsid w:val="00FC3172"/>
    <w:rsid w:val="01A142BB"/>
    <w:rsid w:val="035F5516"/>
    <w:rsid w:val="0C0F509C"/>
    <w:rsid w:val="0EA741FD"/>
    <w:rsid w:val="25847D36"/>
    <w:rsid w:val="2AE11B75"/>
    <w:rsid w:val="32706D6E"/>
    <w:rsid w:val="50002C48"/>
    <w:rsid w:val="51FF63C9"/>
    <w:rsid w:val="56A50814"/>
    <w:rsid w:val="596F1C28"/>
    <w:rsid w:val="63D35E78"/>
    <w:rsid w:val="67E37C07"/>
    <w:rsid w:val="697022A5"/>
    <w:rsid w:val="6CAF5AF2"/>
    <w:rsid w:val="76E4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semiHidden="0" w:name="toc 4"/>
    <w:lsdException w:qFormat="1" w:unhideWhenUsed="0" w:uiPriority="0" w:name="toc 5"/>
    <w:lsdException w:qFormat="1" w:unhideWhenUsed="0" w:uiPriority="0" w:name="toc 6"/>
    <w:lsdException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3">
    <w:name w:val="heading 2"/>
    <w:basedOn w:val="2"/>
    <w:next w:val="1"/>
    <w:link w:val="57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link w:val="58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link w:val="59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uiPriority w:val="0"/>
    <w:pPr>
      <w:ind w:left="1200"/>
    </w:pPr>
  </w:style>
  <w:style w:type="paragraph" w:styleId="12">
    <w:name w:val="Normal Indent"/>
    <w:basedOn w:val="1"/>
    <w:qFormat/>
    <w:uiPriority w:val="0"/>
    <w:pPr>
      <w:ind w:left="900" w:hanging="900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Body Text"/>
    <w:basedOn w:val="1"/>
    <w:qFormat/>
    <w:uiPriority w:val="0"/>
    <w:pPr>
      <w:keepLines/>
      <w:spacing w:after="120"/>
      <w:ind w:left="720"/>
    </w:pPr>
  </w:style>
  <w:style w:type="paragraph" w:styleId="15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autoRedefine/>
    <w:semiHidden/>
    <w:qFormat/>
    <w:uiPriority w:val="0"/>
    <w:pPr>
      <w:ind w:left="800"/>
    </w:pPr>
  </w:style>
  <w:style w:type="paragraph" w:styleId="17">
    <w:name w:val="toc 3"/>
    <w:basedOn w:val="1"/>
    <w:next w:val="1"/>
    <w:autoRedefine/>
    <w:semiHidden/>
    <w:qFormat/>
    <w:uiPriority w:val="0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autoRedefine/>
    <w:semiHidden/>
    <w:qFormat/>
    <w:uiPriority w:val="0"/>
    <w:pPr>
      <w:ind w:left="1400"/>
    </w:pPr>
  </w:style>
  <w:style w:type="paragraph" w:styleId="19">
    <w:name w:val="Body Text Indent 2"/>
    <w:basedOn w:val="1"/>
    <w:qFormat/>
    <w:uiPriority w:val="0"/>
    <w:pPr>
      <w:pBdr>
        <w:top w:val="single" w:color="C0C0C0" w:sz="6" w:space="1"/>
        <w:left w:val="single" w:color="C0C0C0" w:sz="6" w:space="1"/>
        <w:bottom w:val="single" w:color="C0C0C0" w:sz="6" w:space="1"/>
        <w:right w:val="single" w:color="C0C0C0" w:sz="6" w:space="1"/>
        <w:between w:val="single" w:color="C0C0C0" w:sz="6" w:space="1"/>
      </w:pBdr>
      <w:shd w:val="pct25" w:color="FFFF00" w:fill="FFFFFF"/>
      <w:spacing w:line="1" w:lineRule="atLeast"/>
      <w:ind w:left="720"/>
    </w:pPr>
  </w:style>
  <w:style w:type="paragraph" w:styleId="20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uiPriority w:val="0"/>
    <w:pPr>
      <w:tabs>
        <w:tab w:val="center" w:pos="4320"/>
        <w:tab w:val="right" w:pos="8640"/>
      </w:tabs>
    </w:pPr>
  </w:style>
  <w:style w:type="paragraph" w:styleId="22">
    <w:name w:val="toc 1"/>
    <w:basedOn w:val="1"/>
    <w:next w:val="1"/>
    <w:autoRedefine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3">
    <w:name w:val="toc 4"/>
    <w:basedOn w:val="1"/>
    <w:next w:val="1"/>
    <w:autoRedefine/>
    <w:qFormat/>
    <w:uiPriority w:val="0"/>
    <w:pPr>
      <w:ind w:left="600"/>
    </w:pPr>
  </w:style>
  <w:style w:type="paragraph" w:styleId="24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5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6">
    <w:name w:val="toc 6"/>
    <w:basedOn w:val="1"/>
    <w:next w:val="1"/>
    <w:autoRedefine/>
    <w:semiHidden/>
    <w:qFormat/>
    <w:uiPriority w:val="0"/>
    <w:pPr>
      <w:ind w:left="1000"/>
    </w:pPr>
  </w:style>
  <w:style w:type="paragraph" w:styleId="27">
    <w:name w:val="toc 2"/>
    <w:basedOn w:val="1"/>
    <w:next w:val="1"/>
    <w:autoRedefine/>
    <w:qFormat/>
    <w:uiPriority w:val="39"/>
    <w:pPr>
      <w:tabs>
        <w:tab w:val="right" w:pos="9360"/>
      </w:tabs>
      <w:ind w:left="432" w:right="720"/>
    </w:pPr>
  </w:style>
  <w:style w:type="paragraph" w:styleId="28">
    <w:name w:val="toc 9"/>
    <w:basedOn w:val="1"/>
    <w:next w:val="1"/>
    <w:autoRedefine/>
    <w:semiHidden/>
    <w:qFormat/>
    <w:uiPriority w:val="0"/>
    <w:pPr>
      <w:ind w:left="1600"/>
    </w:pPr>
  </w:style>
  <w:style w:type="paragraph" w:styleId="29">
    <w:name w:val="Normal (Web)"/>
    <w:basedOn w:val="1"/>
    <w:uiPriority w:val="0"/>
    <w:rPr>
      <w:sz w:val="24"/>
    </w:rPr>
  </w:style>
  <w:style w:type="paragraph" w:styleId="30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33">
    <w:name w:val="Strong"/>
    <w:qFormat/>
    <w:uiPriority w:val="0"/>
    <w:rPr>
      <w:b/>
    </w:rPr>
  </w:style>
  <w:style w:type="character" w:styleId="34">
    <w:name w:val="page number"/>
    <w:basedOn w:val="32"/>
    <w:uiPriority w:val="0"/>
  </w:style>
  <w:style w:type="character" w:styleId="35">
    <w:name w:val="FollowedHyperlink"/>
    <w:uiPriority w:val="0"/>
    <w:rPr>
      <w:color w:val="800080"/>
      <w:u w:val="single"/>
    </w:rPr>
  </w:style>
  <w:style w:type="character" w:styleId="36">
    <w:name w:val="Hyperlink"/>
    <w:qFormat/>
    <w:uiPriority w:val="0"/>
    <w:rPr>
      <w:color w:val="0000FF"/>
      <w:u w:val="single"/>
    </w:rPr>
  </w:style>
  <w:style w:type="character" w:styleId="37">
    <w:name w:val="HTML Code"/>
    <w:basedOn w:val="32"/>
    <w:uiPriority w:val="0"/>
    <w:rPr>
      <w:rFonts w:ascii="Courier New" w:hAnsi="Courier New"/>
      <w:sz w:val="20"/>
    </w:rPr>
  </w:style>
  <w:style w:type="character" w:styleId="38">
    <w:name w:val="footnote reference"/>
    <w:semiHidden/>
    <w:uiPriority w:val="0"/>
    <w:rPr>
      <w:sz w:val="20"/>
      <w:vertAlign w:val="superscript"/>
    </w:rPr>
  </w:style>
  <w:style w:type="paragraph" w:customStyle="1" w:styleId="39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40">
    <w:name w:val="Bullet1"/>
    <w:basedOn w:val="1"/>
    <w:uiPriority w:val="0"/>
    <w:pPr>
      <w:ind w:left="720" w:hanging="432"/>
    </w:pPr>
  </w:style>
  <w:style w:type="paragraph" w:customStyle="1" w:styleId="41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42">
    <w:name w:val="Tabletext"/>
    <w:basedOn w:val="1"/>
    <w:uiPriority w:val="0"/>
    <w:pPr>
      <w:keepLines/>
      <w:spacing w:after="120"/>
    </w:pPr>
  </w:style>
  <w:style w:type="paragraph" w:customStyle="1" w:styleId="43">
    <w:name w:val="Main Title"/>
    <w:basedOn w:val="1"/>
    <w:qFormat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4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45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46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47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48">
    <w:name w:val="Bullet"/>
    <w:basedOn w:val="1"/>
    <w:qFormat/>
    <w:uiPriority w:val="0"/>
    <w:pPr>
      <w:widowControl/>
      <w:numPr>
        <w:ilvl w:val="0"/>
        <w:numId w:val="2"/>
      </w:numPr>
      <w:spacing w:before="120" w:line="240" w:lineRule="auto"/>
      <w:ind w:right="360"/>
      <w:jc w:val="both"/>
    </w:pPr>
  </w:style>
  <w:style w:type="paragraph" w:customStyle="1" w:styleId="49">
    <w:name w:val="InfoBlue"/>
    <w:basedOn w:val="1"/>
    <w:next w:val="14"/>
    <w:autoRedefine/>
    <w:qFormat/>
    <w:uiPriority w:val="0"/>
    <w:pPr>
      <w:spacing w:after="120"/>
      <w:ind w:left="720"/>
    </w:pPr>
    <w:rPr>
      <w:i/>
      <w:color w:val="0000FF"/>
    </w:rPr>
  </w:style>
  <w:style w:type="character" w:customStyle="1" w:styleId="50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51">
    <w:name w:val="tw4winInternal"/>
    <w:qFormat/>
    <w:uiPriority w:val="0"/>
    <w:rPr>
      <w:rFonts w:ascii="Courier New" w:hAnsi="Courier New"/>
      <w:color w:val="FF0000"/>
    </w:rPr>
  </w:style>
  <w:style w:type="character" w:customStyle="1" w:styleId="52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53">
    <w:name w:val="tw4winTerm"/>
    <w:qFormat/>
    <w:uiPriority w:val="0"/>
    <w:rPr>
      <w:color w:val="0000FF"/>
    </w:rPr>
  </w:style>
  <w:style w:type="character" w:customStyle="1" w:styleId="54">
    <w:name w:val="tw4winPopup"/>
    <w:qFormat/>
    <w:uiPriority w:val="0"/>
    <w:rPr>
      <w:rFonts w:ascii="Courier New" w:hAnsi="Courier New"/>
      <w:color w:val="008000"/>
    </w:rPr>
  </w:style>
  <w:style w:type="character" w:customStyle="1" w:styleId="55">
    <w:name w:val="tw4winJump"/>
    <w:qFormat/>
    <w:uiPriority w:val="0"/>
    <w:rPr>
      <w:rFonts w:ascii="Courier New" w:hAnsi="Courier New"/>
      <w:color w:val="008080"/>
    </w:rPr>
  </w:style>
  <w:style w:type="character" w:customStyle="1" w:styleId="56">
    <w:name w:val="tw4winExternal"/>
    <w:qFormat/>
    <w:uiPriority w:val="0"/>
    <w:rPr>
      <w:rFonts w:ascii="Courier New" w:hAnsi="Courier New"/>
      <w:color w:val="808080"/>
    </w:rPr>
  </w:style>
  <w:style w:type="character" w:customStyle="1" w:styleId="57">
    <w:name w:val="标题 2 Char"/>
    <w:link w:val="3"/>
    <w:uiPriority w:val="0"/>
    <w:rPr>
      <w:sz w:val="20"/>
    </w:rPr>
  </w:style>
  <w:style w:type="character" w:customStyle="1" w:styleId="58">
    <w:name w:val="标题 3 Char"/>
    <w:link w:val="4"/>
    <w:uiPriority w:val="0"/>
    <w:rPr>
      <w:i/>
      <w:sz w:val="20"/>
    </w:rPr>
  </w:style>
  <w:style w:type="character" w:customStyle="1" w:styleId="59">
    <w:name w:val="标题 6 Char"/>
    <w:link w:val="7"/>
    <w:uiPriority w:val="0"/>
    <w:rPr>
      <w:i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21.jpe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&#36719;&#20214;&#26550;&#26500;&#25991;&#26723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软件架构文档.dot</Template>
  <Company>&lt;SJTU&gt;</Company>
  <Pages>15</Pages>
  <Words>2718</Words>
  <Characters>3263</Characters>
  <Lines>18</Lines>
  <Paragraphs>5</Paragraphs>
  <TotalTime>63</TotalTime>
  <ScaleCrop>false</ScaleCrop>
  <LinksUpToDate>false</LinksUpToDate>
  <CharactersWithSpaces>3748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2020-09-03T11:02:00Z</dcterms:created>
  <dc:creator>bjshen</dc:creator>
  <cp:lastModifiedBy>桂寅瑞</cp:lastModifiedBy>
  <cp:lastPrinted>2411-12-31T16:00:00Z</cp:lastPrinted>
  <dcterms:modified xsi:type="dcterms:W3CDTF">2026-07-30T02:52:53Z</dcterms:modified>
  <dc:subject>&lt;项目名称&gt;</dc:subject>
  <dc:title>软件架构文档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  <property fmtid="{D5CDD505-2E9C-101B-9397-08002B2CF9AE}" pid="3" name="KSOProductBuildVer">
    <vt:lpwstr>2052-12.1.0.16929</vt:lpwstr>
  </property>
  <property fmtid="{D5CDD505-2E9C-101B-9397-08002B2CF9AE}" pid="4" name="ICV">
    <vt:lpwstr>531B4471EBB549EAAC2714D0F7A4CA67_13</vt:lpwstr>
  </property>
</Properties>
</file>