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972E1">
      <w:pPr>
        <w:pStyle w:val="6"/>
        <w:ind w:firstLine="321"/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迭代计划</w:t>
      </w:r>
    </w:p>
    <w:p w14:paraId="5508E6BF">
      <w:pPr>
        <w:pStyle w:val="6"/>
        <w:ind w:firstLine="0" w:firstLineChars="0"/>
        <w:jc w:val="center"/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                             </w:t>
      </w:r>
      <w:r>
        <w:rPr>
          <w:rFonts w:hint="eastAsia" w:ascii="宋体" w:hAnsi="宋体" w:eastAsia="宋体" w:cs="宋体"/>
          <w:szCs w:val="21"/>
        </w:rPr>
        <w:t>制定日期：</w:t>
      </w:r>
      <w:r>
        <w:rPr>
          <w:rFonts w:hint="eastAsia" w:ascii="宋体" w:hAnsi="宋体" w:eastAsia="宋体" w:cs="宋体"/>
          <w:szCs w:val="21"/>
          <w:lang w:val="en-US" w:eastAsia="zh-CN"/>
        </w:rPr>
        <w:t>2026.07.06</w:t>
      </w:r>
    </w:p>
    <w:tbl>
      <w:tblPr>
        <w:tblStyle w:val="7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22F8E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51891264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2935A7A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14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3A02AD1F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7B52F9D5">
            <w:pPr>
              <w:adjustRightInd w:val="0"/>
              <w:snapToGrid w:val="0"/>
              <w:spacing w:line="460" w:lineRule="atLeast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生物</w:t>
            </w:r>
            <w:r>
              <w:rPr>
                <w:rFonts w:hint="default" w:ascii="宋体" w:hAnsi="宋体" w:eastAsia="宋体" w:cs="宋体"/>
                <w:szCs w:val="21"/>
                <w:lang w:val="en-US" w:eastAsia="zh-CN"/>
              </w:rPr>
              <w:t>实验</w:t>
            </w:r>
            <w:r>
              <w:rPr>
                <w:rFonts w:hint="default"/>
                <w:lang w:val="en-US" w:eastAsia="zh-CN"/>
              </w:rPr>
              <w:t>助手</w:t>
            </w:r>
          </w:p>
        </w:tc>
      </w:tr>
      <w:tr w14:paraId="5E3D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41772EC3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449B3ED">
            <w:pPr>
              <w:adjustRightInd w:val="0"/>
              <w:snapToGrid w:val="0"/>
              <w:spacing w:line="460" w:lineRule="atLeast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第一次迭代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6A8850B4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0A8CFFC8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7.7-7.12</w:t>
            </w:r>
          </w:p>
        </w:tc>
      </w:tr>
      <w:tr w14:paraId="2631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61D8A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任务、进度安排和人员分配：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 w14:paraId="7BBEB2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12A82102">
                  <w:pPr>
                    <w:bidi w:val="0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071687">
                  <w:pPr>
                    <w:bidi w:val="0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5F819DA">
                  <w:pPr>
                    <w:bidi w:val="0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048DBF">
                  <w:pPr>
                    <w:bidi w:val="0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人员</w:t>
                  </w:r>
                </w:p>
              </w:tc>
            </w:tr>
            <w:tr w14:paraId="101B9A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5DC54CDF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7522E498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复习前端web组件的实现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A89666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7</w:t>
                  </w:r>
                  <w:r>
                    <w:rPr>
                      <w:rFonts w:hint="eastAsia" w:ascii="宋体" w:hAnsi="宋体" w:cs="宋体"/>
                      <w:lang w:val="en-US" w:eastAsia="zh-CN"/>
                    </w:rPr>
                    <w:t>.7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-</w:t>
                  </w:r>
                  <w:r>
                    <w:rPr>
                      <w:rFonts w:hint="eastAsia" w:ascii="宋体" w:hAnsi="宋体" w:cs="宋体"/>
                      <w:lang w:val="en-US" w:eastAsia="zh-CN"/>
                    </w:rPr>
                    <w:t>7.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8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C9EB893">
                  <w:pPr>
                    <w:bidi w:val="0"/>
                    <w:rPr>
                      <w:rFonts w:hint="default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全体</w:t>
                  </w:r>
                </w:p>
              </w:tc>
            </w:tr>
            <w:tr w14:paraId="5AA0FF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0DEFA721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DEB4826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学习agent接入web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63BA543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7.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9-</w:t>
                  </w:r>
                  <w:r>
                    <w:rPr>
                      <w:rFonts w:hint="eastAsia" w:ascii="宋体" w:hAnsi="宋体" w:cs="宋体"/>
                      <w:lang w:val="en-US" w:eastAsia="zh-CN"/>
                    </w:rPr>
                    <w:t>7.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10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93FAB72">
                  <w:pPr>
                    <w:bidi w:val="0"/>
                    <w:rPr>
                      <w:rFonts w:hint="default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金钰豪</w:t>
                  </w:r>
                  <w:r>
                    <w:rPr>
                      <w:rFonts w:hint="eastAsia" w:ascii="宋体" w:hAnsi="宋体" w:cs="宋体"/>
                      <w:lang w:val="en-US" w:eastAsia="zh-CN"/>
                    </w:rPr>
                    <w:t>、谭昊</w:t>
                  </w:r>
                </w:p>
              </w:tc>
            </w:tr>
            <w:tr w14:paraId="2B4AA4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6D737EE4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2D7D490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设计界面原</w:t>
                  </w:r>
                  <w:bookmarkStart w:id="0" w:name="_GoBack"/>
                  <w:bookmarkEnd w:id="0"/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型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D0242CC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7.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9-</w:t>
                  </w:r>
                  <w:r>
                    <w:rPr>
                      <w:rFonts w:hint="eastAsia" w:ascii="宋体" w:hAnsi="宋体" w:cs="宋体"/>
                      <w:lang w:val="en-US" w:eastAsia="zh-CN"/>
                    </w:rPr>
                    <w:t>7.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10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685416C9">
                  <w:pPr>
                    <w:bidi w:val="0"/>
                    <w:rPr>
                      <w:rFonts w:hint="eastAsia" w:ascii="宋体" w:hAnsi="宋体" w:cs="宋体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桂寅瑞</w:t>
                  </w:r>
                  <w:r>
                    <w:rPr>
                      <w:rFonts w:hint="eastAsia" w:ascii="宋体" w:hAnsi="宋体" w:cs="宋体"/>
                      <w:lang w:eastAsia="zh-CN"/>
                    </w:rPr>
                    <w:t>、岳耀扬、</w:t>
                  </w:r>
                </w:p>
                <w:p w14:paraId="4AC96593">
                  <w:pPr>
                    <w:bidi w:val="0"/>
                    <w:rPr>
                      <w:rFonts w:hint="default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刘鹿原</w:t>
                  </w:r>
                </w:p>
              </w:tc>
            </w:tr>
            <w:tr w14:paraId="22CCE8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69996682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CFE7CC4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界面原型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汇总、测试、评审以及撰写评估报告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A05487E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7.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11-</w:t>
                  </w:r>
                  <w:r>
                    <w:rPr>
                      <w:rFonts w:hint="eastAsia" w:ascii="宋体" w:hAnsi="宋体" w:cs="宋体"/>
                      <w:lang w:val="en-US" w:eastAsia="zh-CN"/>
                    </w:rPr>
                    <w:t>7.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12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7BAC2B9">
                  <w:pPr>
                    <w:bidi w:val="0"/>
                    <w:rPr>
                      <w:rFonts w:hint="default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金钰豪、谭昊</w:t>
                  </w:r>
                </w:p>
              </w:tc>
            </w:tr>
            <w:tr w14:paraId="11FE4E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29FF9625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4D2FCCA7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学习后端接口以及撰写ppt</w:t>
                  </w:r>
                  <w:r>
                    <w:rPr>
                      <w:rFonts w:hint="eastAsia" w:ascii="宋体" w:hAnsi="宋体" w:cs="宋体"/>
                      <w:lang w:val="en-US" w:eastAsia="zh-CN"/>
                    </w:rPr>
                    <w:t>、</w:t>
                  </w:r>
                  <w:r>
                    <w:rPr>
                      <w:rFonts w:hint="eastAsia" w:ascii="宋体" w:hAnsi="宋体" w:eastAsia="宋体" w:cs="宋体"/>
                    </w:rPr>
                    <w:t>Vision文档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和用例模型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DCAF9E3">
                  <w:pPr>
                    <w:bidi w:val="0"/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7.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11-</w:t>
                  </w:r>
                  <w:r>
                    <w:rPr>
                      <w:rFonts w:hint="eastAsia" w:ascii="宋体" w:hAnsi="宋体" w:cs="宋体"/>
                      <w:lang w:val="en-US" w:eastAsia="zh-CN"/>
                    </w:rPr>
                    <w:t>7.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12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12063F">
                  <w:pPr>
                    <w:bidi w:val="0"/>
                    <w:rPr>
                      <w:rFonts w:hint="eastAsia" w:ascii="宋体" w:hAnsi="宋体" w:cs="宋体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桂寅瑞</w:t>
                  </w:r>
                  <w:r>
                    <w:rPr>
                      <w:rFonts w:hint="eastAsia" w:ascii="宋体" w:hAnsi="宋体" w:cs="宋体"/>
                      <w:lang w:eastAsia="zh-CN"/>
                    </w:rPr>
                    <w:t>、岳耀扬、</w:t>
                  </w:r>
                </w:p>
                <w:p w14:paraId="6381FCEC">
                  <w:pPr>
                    <w:bidi w:val="0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cs="宋体"/>
                      <w:lang w:val="en-US" w:eastAsia="zh-CN"/>
                    </w:rPr>
                    <w:t>刘鹿原</w:t>
                  </w:r>
                </w:p>
              </w:tc>
            </w:tr>
          </w:tbl>
          <w:p w14:paraId="423FD742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65D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3F0DB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预期</w:t>
            </w:r>
            <w:r>
              <w:rPr>
                <w:rFonts w:hint="eastAsia" w:ascii="宋体" w:hAnsi="宋体" w:eastAsia="宋体" w:cs="宋体"/>
                <w:szCs w:val="21"/>
              </w:rPr>
              <w:t>成果</w:t>
            </w:r>
            <w:r>
              <w:rPr>
                <w:rFonts w:hint="eastAsia" w:ascii="宋体" w:hAnsi="宋体" w:eastAsia="宋体" w:cs="宋体"/>
                <w:szCs w:val="21"/>
              </w:rPr>
              <w:t>：</w:t>
            </w:r>
          </w:p>
          <w:p w14:paraId="65457AC9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Vision文档</w:t>
            </w:r>
          </w:p>
          <w:p w14:paraId="3901861C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用例模型</w:t>
            </w:r>
          </w:p>
          <w:p w14:paraId="70C03B1D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界面原型的代码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（html等）</w:t>
            </w:r>
          </w:p>
          <w:p w14:paraId="722A9332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本次迭代评估报告</w:t>
            </w:r>
          </w:p>
          <w:p w14:paraId="63416AE9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</w:p>
        </w:tc>
      </w:tr>
      <w:tr w14:paraId="3D82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BEA30D3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主要的风险和应对方案：</w:t>
            </w:r>
          </w:p>
          <w:p w14:paraId="225FD889">
            <w:pPr>
              <w:pStyle w:val="12"/>
              <w:ind w:firstLine="0" w:firstLineChars="0"/>
              <w:rPr>
                <w:rFonts w:hint="eastAsia" w:ascii="宋体" w:hAnsi="宋体" w:eastAsia="宋体" w:cs="宋体"/>
                <w:color w:val="0070C0"/>
                <w:sz w:val="24"/>
                <w:szCs w:val="24"/>
              </w:rPr>
            </w:pP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2788"/>
              <w:gridCol w:w="2789"/>
              <w:gridCol w:w="2790"/>
            </w:tblGrid>
            <w:tr w14:paraId="11656B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792" w:type="dxa"/>
                  <w:vAlign w:val="center"/>
                </w:tcPr>
                <w:p w14:paraId="5202B6FE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 w:val="21"/>
                      <w:szCs w:val="21"/>
                    </w:rPr>
                    <w:t>风险</w:t>
                  </w:r>
                </w:p>
              </w:tc>
              <w:tc>
                <w:tcPr>
                  <w:tcW w:w="2792" w:type="dxa"/>
                  <w:vAlign w:val="center"/>
                </w:tcPr>
                <w:p w14:paraId="42091206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 w:val="21"/>
                      <w:szCs w:val="21"/>
                    </w:rPr>
                    <w:t>影响</w:t>
                  </w:r>
                </w:p>
              </w:tc>
              <w:tc>
                <w:tcPr>
                  <w:tcW w:w="2793" w:type="dxa"/>
                  <w:vAlign w:val="center"/>
                </w:tcPr>
                <w:p w14:paraId="3C7F6698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 w:val="21"/>
                      <w:szCs w:val="21"/>
                    </w:rPr>
                    <w:t>缓解措施</w:t>
                  </w:r>
                </w:p>
              </w:tc>
            </w:tr>
            <w:tr w14:paraId="2B4BB7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792" w:type="dxa"/>
                  <w:vAlign w:val="center"/>
                </w:tcPr>
                <w:p w14:paraId="0C587FA9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Agent API不稳定或成本过高</w:t>
                  </w:r>
                </w:p>
              </w:tc>
              <w:tc>
                <w:tcPr>
                  <w:tcW w:w="2792" w:type="dxa"/>
                  <w:vAlign w:val="center"/>
                </w:tcPr>
                <w:p w14:paraId="12AC08BE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数据分析功能无法使用</w:t>
                  </w:r>
                </w:p>
              </w:tc>
              <w:tc>
                <w:tcPr>
                  <w:tcW w:w="2793" w:type="dxa"/>
                  <w:vAlign w:val="center"/>
                </w:tcPr>
                <w:p w14:paraId="27979B94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预留本地统计分析兜底方案</w:t>
                  </w:r>
                </w:p>
              </w:tc>
            </w:tr>
            <w:tr w14:paraId="387542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792" w:type="dxa"/>
                  <w:vAlign w:val="center"/>
                </w:tcPr>
                <w:p w14:paraId="0DB0716C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提醒推送在移动端受限</w:t>
                  </w:r>
                </w:p>
              </w:tc>
              <w:tc>
                <w:tcPr>
                  <w:tcW w:w="2792" w:type="dxa"/>
                  <w:vAlign w:val="center"/>
                </w:tcPr>
                <w:p w14:paraId="6E2AB376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用户错过采集时间</w:t>
                  </w:r>
                </w:p>
              </w:tc>
              <w:tc>
                <w:tcPr>
                  <w:tcW w:w="2793" w:type="dxa"/>
                  <w:vAlign w:val="center"/>
                </w:tcPr>
                <w:p w14:paraId="7988DCBC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提供短信/邮件等多通道提醒</w:t>
                  </w:r>
                </w:p>
              </w:tc>
            </w:tr>
            <w:tr w14:paraId="23A5A6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792" w:type="dxa"/>
                  <w:vAlign w:val="center"/>
                </w:tcPr>
                <w:p w14:paraId="330EF9DC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多人协作数据冲突</w:t>
                  </w:r>
                </w:p>
              </w:tc>
              <w:tc>
                <w:tcPr>
                  <w:tcW w:w="2792" w:type="dxa"/>
                  <w:vAlign w:val="center"/>
                </w:tcPr>
                <w:p w14:paraId="7B1E7347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数据不一致</w:t>
                  </w:r>
                </w:p>
              </w:tc>
              <w:tc>
                <w:tcPr>
                  <w:tcW w:w="2793" w:type="dxa"/>
                  <w:vAlign w:val="center"/>
                </w:tcPr>
                <w:p w14:paraId="16D13569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采用乐观锁+变更日志机制</w:t>
                  </w:r>
                </w:p>
              </w:tc>
            </w:tr>
            <w:tr w14:paraId="68B179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792" w:type="dxa"/>
                  <w:vAlign w:val="center"/>
                </w:tcPr>
                <w:p w14:paraId="42783161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大量图片存储压力</w:t>
                  </w:r>
                </w:p>
              </w:tc>
              <w:tc>
                <w:tcPr>
                  <w:tcW w:w="2792" w:type="dxa"/>
                  <w:vAlign w:val="center"/>
                </w:tcPr>
                <w:p w14:paraId="4C25639A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存储成本高</w:t>
                  </w:r>
                </w:p>
              </w:tc>
              <w:tc>
                <w:tcPr>
                  <w:tcW w:w="2793" w:type="dxa"/>
                  <w:vAlign w:val="center"/>
                </w:tcPr>
                <w:p w14:paraId="55CBE88F">
                  <w:pPr>
                    <w:pStyle w:val="5"/>
                    <w:keepNext w:val="0"/>
                    <w:keepLines w:val="0"/>
                    <w:widowControl/>
                    <w:suppressLineNumbers w:val="0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图片压缩+云存储+定期清理策略</w:t>
                  </w:r>
                </w:p>
              </w:tc>
            </w:tr>
          </w:tbl>
          <w:p w14:paraId="65710E94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</w:p>
          <w:p w14:paraId="3D493BA7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</w:p>
        </w:tc>
      </w:tr>
    </w:tbl>
    <w:p w14:paraId="3F3AD8FA">
      <w:pPr>
        <w:pStyle w:val="6"/>
        <w:ind w:firstLine="0" w:firstLineChars="0"/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026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Body Text First Indent"/>
    <w:basedOn w:val="2"/>
    <w:qFormat/>
    <w:uiPriority w:val="0"/>
    <w:pPr>
      <w:ind w:firstLine="420" w:firstLineChars="100"/>
    </w:p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link w:val="4"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1</Pages>
  <Words>187</Words>
  <Characters>190</Characters>
  <Lines>2</Lines>
  <Paragraphs>1</Paragraphs>
  <TotalTime>14</TotalTime>
  <ScaleCrop>false</ScaleCrop>
  <LinksUpToDate>false</LinksUpToDate>
  <CharactersWithSpaces>221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2020-09-03T10:57:00Z</dcterms:created>
  <dc:creator>QC</dc:creator>
  <cp:lastModifiedBy>金钰豪</cp:lastModifiedBy>
  <dcterms:modified xsi:type="dcterms:W3CDTF">2026-07-06T07:47:33Z</dcterms:modified>
  <dc:title>周活动总结表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eyJoZGlkIjoiZGE2OTUwMWVkNjYwMjVjYmIzNDdlYTJhOGRhMWM4ZTAiLCJ1c2VySWQiOiIxNjQ2MDg4MDM0In0=</vt:lpwstr>
  </property>
  <property fmtid="{D5CDD505-2E9C-101B-9397-08002B2CF9AE}" pid="3" name="KSOProductBuildVer">
    <vt:lpwstr>2052-12.1.0.19302</vt:lpwstr>
  </property>
  <property fmtid="{D5CDD505-2E9C-101B-9397-08002B2CF9AE}" pid="4" name="ICV">
    <vt:lpwstr>A7386F3D1ED54B12B46DC893601ABBAE_12</vt:lpwstr>
  </property>
</Properties>
</file>