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C737">
      <w:pPr>
        <w:pStyle w:val="7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 w14:paraId="01405257">
      <w:pPr>
        <w:pStyle w:val="7"/>
        <w:ind w:firstLine="0" w:firstLineChars="0"/>
        <w:jc w:val="center"/>
        <w:rPr>
          <w:rFonts w:hint="default" w:ascii="宋体"/>
          <w:szCs w:val="21"/>
          <w:lang w:val="en-US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hint="eastAsia" w:ascii="宋体"/>
          <w:szCs w:val="21"/>
        </w:rPr>
        <w:t>评估日期：</w:t>
      </w:r>
      <w:r>
        <w:rPr>
          <w:rFonts w:hint="eastAsia" w:ascii="宋体" w:hAnsi="宋体" w:eastAsia="宋体" w:cs="宋体"/>
          <w:szCs w:val="21"/>
          <w:lang w:val="en-US" w:eastAsia="zh-CN"/>
        </w:rPr>
        <w:t>2026.07.</w:t>
      </w:r>
      <w:r>
        <w:rPr>
          <w:rFonts w:hint="eastAsia" w:ascii="宋体" w:hAnsi="宋体" w:cs="宋体"/>
          <w:szCs w:val="21"/>
          <w:lang w:val="en-US" w:eastAsia="zh-CN"/>
        </w:rPr>
        <w:t>23</w:t>
      </w:r>
    </w:p>
    <w:tbl>
      <w:tblPr>
        <w:tblStyle w:val="8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329B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1BA3806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 w14:paraId="6A822DCF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66" w:type="dxa"/>
            <w:shd w:val="clear" w:color="auto" w:fill="auto"/>
          </w:tcPr>
          <w:p w14:paraId="1F24589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>
            <w:pPr>
              <w:adjustRightInd w:val="0"/>
              <w:snapToGrid w:val="0"/>
              <w:spacing w:line="460" w:lineRule="atLeast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hint="default"/>
                <w:lang w:val="en-US" w:eastAsia="zh-CN"/>
              </w:rPr>
              <w:t>生物</w:t>
            </w: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>实验</w:t>
            </w:r>
            <w:r>
              <w:rPr>
                <w:rFonts w:hint="default"/>
                <w:lang w:val="en-US" w:eastAsia="zh-CN"/>
              </w:rPr>
              <w:t>助手</w:t>
            </w:r>
          </w:p>
        </w:tc>
      </w:tr>
      <w:tr w14:paraId="1CC4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07CB0E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第二次迭代</w:t>
            </w:r>
          </w:p>
        </w:tc>
        <w:tc>
          <w:tcPr>
            <w:tcW w:w="1866" w:type="dxa"/>
            <w:shd w:val="clear" w:color="auto" w:fill="auto"/>
          </w:tcPr>
          <w:p w14:paraId="4A17516D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 w14:paraId="7B9BA2E1">
            <w:pPr>
              <w:adjustRightInd w:val="0"/>
              <w:snapToGrid w:val="0"/>
              <w:spacing w:line="460" w:lineRule="atLeast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-7.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23</w:t>
            </w:r>
          </w:p>
        </w:tc>
      </w:tr>
      <w:tr w14:paraId="190B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0906C720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任务达成情况：</w:t>
            </w:r>
          </w:p>
          <w:p w14:paraId="27F5EAF1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  <w:p w14:paraId="34B5664A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产品定位与范围界定：</w:t>
            </w:r>
            <w:r>
              <w:rPr>
                <w:rFonts w:hint="default"/>
                <w:szCs w:val="21"/>
                <w:lang w:val="en-US" w:eastAsia="zh-CN"/>
              </w:rPr>
              <w:t>明确轻量化电子实验记录助手的产品定位、目标用户（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rFonts w:hint="default"/>
                <w:szCs w:val="21"/>
                <w:lang w:val="en-US" w:eastAsia="zh-CN"/>
              </w:rPr>
              <w:t>高校学生、</w:t>
            </w:r>
            <w:r>
              <w:rPr>
                <w:rFonts w:hint="eastAsia"/>
                <w:szCs w:val="21"/>
                <w:lang w:val="en-US" w:eastAsia="zh-CN"/>
              </w:rPr>
              <w:t xml:space="preserve">             </w:t>
            </w:r>
            <w:r>
              <w:rPr>
                <w:rFonts w:hint="default"/>
                <w:szCs w:val="21"/>
                <w:lang w:val="en-US" w:eastAsia="zh-CN"/>
              </w:rPr>
              <w:t>教师/助教）及非目标</w:t>
            </w:r>
            <w:r>
              <w:rPr>
                <w:rFonts w:hint="eastAsia"/>
                <w:szCs w:val="21"/>
                <w:lang w:val="en-US" w:eastAsia="zh-CN"/>
              </w:rPr>
              <w:t>功能</w:t>
            </w:r>
            <w:r>
              <w:rPr>
                <w:rFonts w:hint="default"/>
                <w:szCs w:val="21"/>
                <w:lang w:val="en-US" w:eastAsia="zh-CN"/>
              </w:rPr>
              <w:t>（不做专业生物信息学、试剂库存、实时协作等）。</w:t>
            </w:r>
          </w:p>
          <w:p w14:paraId="2C7011FF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领域结构设计：</w:t>
            </w:r>
            <w:r>
              <w:rPr>
                <w:rFonts w:hint="default"/>
                <w:szCs w:val="21"/>
                <w:lang w:val="en-US" w:eastAsia="zh-CN"/>
              </w:rPr>
              <w:t>确定"用户—项目成员关系—项目—实验记录—附件"的层次模型，补充审计事件等支撑对象。</w:t>
            </w:r>
          </w:p>
          <w:p w14:paraId="04A4F384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详细功能需求与业务规则：</w:t>
            </w:r>
            <w:r>
              <w:rPr>
                <w:rFonts w:hint="default"/>
                <w:szCs w:val="21"/>
                <w:lang w:val="en-US" w:eastAsia="zh-CN"/>
              </w:rPr>
              <w:t>共覆盖九个模块（用户与身份、项目管理、实验记录、实验模板、附件管理、搜索、审计、报告预览与导出、站内通知与审核提醒），每个模块均细化到字段级规则和状态转换。</w:t>
            </w:r>
          </w:p>
          <w:p w14:paraId="35BCE74F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权限矩阵：</w:t>
            </w:r>
            <w:r>
              <w:rPr>
                <w:rFonts w:hint="default"/>
                <w:szCs w:val="21"/>
                <w:lang w:val="en-US" w:eastAsia="zh-CN"/>
              </w:rPr>
              <w:t>定义进行中项目的完整权限矩阵及个人模板的独立权限规则。</w:t>
            </w:r>
          </w:p>
          <w:p w14:paraId="75913FBF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核心业务流程：</w:t>
            </w:r>
            <w:r>
              <w:rPr>
                <w:rFonts w:hint="default"/>
                <w:szCs w:val="21"/>
                <w:lang w:val="en-US" w:eastAsia="zh-CN"/>
              </w:rPr>
              <w:t>梳理创建项目与邀请成员、创建填写审核实验记录、搜索中心与导出、项目归档四条主流程。</w:t>
            </w:r>
          </w:p>
          <w:p w14:paraId="5F7324B3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非功能性要求：</w:t>
            </w:r>
            <w:r>
              <w:rPr>
                <w:rFonts w:hint="default"/>
                <w:szCs w:val="21"/>
                <w:lang w:val="en-US" w:eastAsia="zh-CN"/>
              </w:rPr>
              <w:t>覆盖安全、数据一致性、性能与可用性、</w:t>
            </w:r>
            <w:r>
              <w:rPr>
                <w:rFonts w:hint="default"/>
                <w:i w:val="0"/>
                <w:iCs w:val="0"/>
                <w:szCs w:val="21"/>
                <w:lang w:val="en-US" w:eastAsia="zh-CN"/>
              </w:rPr>
              <w:t>API</w:t>
            </w:r>
            <w:r>
              <w:rPr>
                <w:rFonts w:hint="default"/>
                <w:i/>
                <w:iCs/>
                <w:szCs w:val="21"/>
                <w:lang w:val="en-US" w:eastAsia="zh-CN"/>
              </w:rPr>
              <w:t xml:space="preserve"> </w:t>
            </w:r>
            <w:r>
              <w:rPr>
                <w:rFonts w:hint="default"/>
                <w:szCs w:val="21"/>
                <w:lang w:val="en-US" w:eastAsia="zh-CN"/>
              </w:rPr>
              <w:t>错误语义。</w:t>
            </w:r>
          </w:p>
          <w:p w14:paraId="6CD35288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0269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69F511D3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</w:p>
          <w:p w14:paraId="10291745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6D308A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评审与测试</w:t>
            </w:r>
          </w:p>
          <w:p w14:paraId="0D83B5BA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Chars="0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根据</w:t>
            </w:r>
            <w:r>
              <w:rPr>
                <w:szCs w:val="21"/>
              </w:rPr>
              <w:t xml:space="preserve">需求文档 </w:t>
            </w:r>
            <w:r>
              <w:rPr>
                <w:i/>
                <w:iCs/>
                <w:szCs w:val="21"/>
              </w:rPr>
              <w:t>01-product-overview.md</w:t>
            </w:r>
            <w:r>
              <w:rPr>
                <w:szCs w:val="21"/>
              </w:rPr>
              <w:t xml:space="preserve"> 完成内部评审，对角色定义、状态转换、权限矩阵进行了逐条校验，确保规则无冲突、无遗漏。</w:t>
            </w:r>
          </w:p>
          <w:p w14:paraId="356944ED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szCs w:val="21"/>
              </w:rPr>
            </w:pPr>
            <w:r>
              <w:rPr>
                <w:szCs w:val="21"/>
              </w:rPr>
              <w:t>前端界面在实现阶段经过易用性评审，发现了功能冗余问题，后续进行了迭代升级。</w:t>
            </w:r>
          </w:p>
          <w:p w14:paraId="4D81AFF0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szCs w:val="21"/>
              </w:rPr>
            </w:pPr>
          </w:p>
          <w:p w14:paraId="31AF3776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b/>
                <w:bCs/>
                <w:i w:val="0"/>
                <w:iCs w:val="0"/>
                <w:szCs w:val="21"/>
              </w:rPr>
            </w:pPr>
            <w:r>
              <w:rPr>
                <w:b/>
                <w:bCs/>
                <w:i w:val="0"/>
                <w:iCs w:val="0"/>
                <w:szCs w:val="21"/>
              </w:rPr>
              <w:t>评审与测试结果</w:t>
            </w:r>
          </w:p>
          <w:p w14:paraId="040E9339">
            <w:pPr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leftChars="0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项目</w:t>
            </w:r>
            <w:bookmarkStart w:id="0" w:name="_GoBack"/>
            <w:bookmarkEnd w:id="0"/>
            <w:r>
              <w:rPr>
                <w:szCs w:val="21"/>
              </w:rPr>
              <w:t>需求已</w:t>
            </w:r>
            <w:r>
              <w:rPr>
                <w:rFonts w:hint="eastAsia"/>
                <w:szCs w:val="21"/>
                <w:lang w:val="en-US" w:eastAsia="zh-CN"/>
              </w:rPr>
              <w:t>明确</w:t>
            </w:r>
            <w:r>
              <w:rPr>
                <w:szCs w:val="21"/>
              </w:rPr>
              <w:t>，可作为后续开发和测试的稳定基准。</w:t>
            </w:r>
          </w:p>
          <w:p w14:paraId="13A2AE18">
            <w:pPr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szCs w:val="21"/>
              </w:rPr>
            </w:pPr>
            <w:r>
              <w:rPr>
                <w:szCs w:val="21"/>
              </w:rPr>
              <w:t>前端易用性问题已识别并在本迭代内完成修正，界面更加简洁、操作路径更清晰。</w:t>
            </w:r>
          </w:p>
          <w:p w14:paraId="537ADA68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szCs w:val="21"/>
              </w:rPr>
            </w:pPr>
          </w:p>
        </w:tc>
      </w:tr>
      <w:tr w14:paraId="0CAD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5524A526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问题、变更和返工：</w:t>
            </w:r>
          </w:p>
          <w:p w14:paraId="0CE29191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  <w:p w14:paraId="6B202F62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遇到的问题</w:t>
            </w:r>
          </w:p>
          <w:p w14:paraId="209892E6">
            <w:pPr>
              <w:numPr>
                <w:ilvl w:val="0"/>
                <w:numId w:val="4"/>
              </w:numPr>
              <w:adjustRightInd w:val="0"/>
              <w:snapToGrid w:val="0"/>
              <w:spacing w:line="460" w:lineRule="atLeast"/>
              <w:ind w:left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团队成员各自负责的模块在接口、数据格式和交互逻辑上存在不一致，导致前后端联调和模块整合时出现较多摩擦，集成进度滞后。</w:t>
            </w:r>
          </w:p>
          <w:p w14:paraId="2241E7D2">
            <w:pPr>
              <w:numPr>
                <w:ilvl w:val="0"/>
                <w:numId w:val="4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后端在对照前端页面进行接口开发时，发现部分页面元素和操作入口设计过于复杂，用户完成核心任务（如创建记录、提交审核）的操作路径过长，需要前端重构。</w:t>
            </w:r>
          </w:p>
          <w:p w14:paraId="015A5665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default"/>
                <w:szCs w:val="21"/>
                <w:lang w:val="en-US" w:eastAsia="zh-CN"/>
              </w:rPr>
            </w:pPr>
          </w:p>
          <w:p w14:paraId="7F32AACC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发生的变更</w:t>
            </w:r>
          </w:p>
          <w:p w14:paraId="6B46720F">
            <w:pPr>
              <w:numPr>
                <w:ilvl w:val="0"/>
                <w:numId w:val="5"/>
              </w:numPr>
              <w:adjustRightInd w:val="0"/>
              <w:snapToGrid w:val="0"/>
              <w:spacing w:line="460" w:lineRule="atLeast"/>
              <w:ind w:left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前端页面迭代升级：</w:t>
            </w:r>
            <w:r>
              <w:rPr>
                <w:rFonts w:hint="default"/>
                <w:szCs w:val="21"/>
                <w:lang w:val="en-US" w:eastAsia="zh-CN"/>
              </w:rPr>
              <w:t>针对易用性问题，对实验记录编辑器、审核操作区和项目成员管理页面进行了简化重构，去除冗余操作入口，优化核心流程的操作步骤。</w:t>
            </w:r>
          </w:p>
          <w:p w14:paraId="08980FE3">
            <w:pPr>
              <w:numPr>
                <w:ilvl w:val="0"/>
                <w:numId w:val="5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Cs w:val="21"/>
                <w:lang w:val="en-US" w:eastAsia="zh-CN"/>
              </w:rPr>
              <w:t>功能子系统修改整合：</w:t>
            </w:r>
            <w:r>
              <w:rPr>
                <w:rFonts w:hint="default"/>
                <w:szCs w:val="21"/>
                <w:lang w:val="en-US" w:eastAsia="zh-CN"/>
              </w:rPr>
              <w:t>统一了各模块间的接口约定和数据格式，对成员管理、审核流程、通知系统等子系统进行了接口对齐和逻辑整合，消除了模块间的不一致。</w:t>
            </w:r>
          </w:p>
          <w:p w14:paraId="17052FAD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0E33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3AB9BC8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经验和教训： </w:t>
            </w:r>
          </w:p>
          <w:p w14:paraId="4C974543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  <w:p w14:paraId="40F42B66">
            <w:pPr>
              <w:numPr>
                <w:ilvl w:val="0"/>
                <w:numId w:val="6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b/>
                <w:bCs/>
                <w:szCs w:val="21"/>
              </w:rPr>
              <w:t>接口约定应在编码前统一：</w:t>
            </w:r>
            <w:r>
              <w:rPr>
                <w:szCs w:val="21"/>
              </w:rPr>
              <w:t>各模块并行开发前应先明确接口契约和数据格式规范，避免各自实现后再对齐带来的集成成本。</w:t>
            </w:r>
          </w:p>
          <w:p w14:paraId="4388BC04">
            <w:pPr>
              <w:numPr>
                <w:ilvl w:val="0"/>
                <w:numId w:val="6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前端设计需与后端同步评审：</w:t>
            </w:r>
            <w:r>
              <w:rPr>
                <w:szCs w:val="21"/>
              </w:rPr>
              <w:t>前端界面在设计阶段应尽早与后端沟通，确保页面元素与后端接口能力匹配，同时从用户视角审视操作路径，避免功能冗余。</w:t>
            </w:r>
          </w:p>
          <w:p w14:paraId="7A03F2C6">
            <w:pPr>
              <w:numPr>
                <w:ilvl w:val="0"/>
                <w:numId w:val="6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模块整合应预留缓冲时间：</w:t>
            </w:r>
            <w:r>
              <w:rPr>
                <w:szCs w:val="21"/>
              </w:rPr>
              <w:t>多模块并行开发时，联调整合阶段的摩擦难以完全避免，迭代计划中应预留充分的集成和适配时间。</w:t>
            </w:r>
          </w:p>
          <w:p w14:paraId="06801199">
            <w:pPr>
              <w:numPr>
                <w:ilvl w:val="0"/>
                <w:numId w:val="6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以核心流程驱动界面设计：</w:t>
            </w:r>
            <w:r>
              <w:rPr>
                <w:szCs w:val="21"/>
              </w:rPr>
              <w:t>界面设计应以用户完成核心任务的路径为主线，优先保证高频操作简洁高效，而非追求功能入口的全面铺开。</w:t>
            </w:r>
          </w:p>
          <w:p w14:paraId="1158940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582E8B5B"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A42EF"/>
    <w:multiLevelType w:val="singleLevel"/>
    <w:tmpl w:val="BEDA42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CF0015F"/>
    <w:multiLevelType w:val="singleLevel"/>
    <w:tmpl w:val="DCF0015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2695395"/>
    <w:multiLevelType w:val="singleLevel"/>
    <w:tmpl w:val="1269539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19A3A6A"/>
    <w:multiLevelType w:val="singleLevel"/>
    <w:tmpl w:val="219A3A6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B8B559"/>
    <w:multiLevelType w:val="singleLevel"/>
    <w:tmpl w:val="2CB8B55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F3F8F49"/>
    <w:multiLevelType w:val="singleLevel"/>
    <w:tmpl w:val="2F3F8F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3830A8B"/>
    <w:rsid w:val="06113C04"/>
    <w:rsid w:val="14BA6AF0"/>
    <w:rsid w:val="1E633ADD"/>
    <w:rsid w:val="1E7E526B"/>
    <w:rsid w:val="20965BB0"/>
    <w:rsid w:val="3B605215"/>
    <w:rsid w:val="3C0F6D29"/>
    <w:rsid w:val="53FF0B44"/>
    <w:rsid w:val="6164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3"/>
    <w:qFormat/>
    <w:uiPriority w:val="0"/>
    <w:pPr>
      <w:ind w:firstLine="420" w:firstLineChars="1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4"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1139</Words>
  <Characters>1188</Characters>
  <Lines>1</Lines>
  <Paragraphs>1</Paragraphs>
  <TotalTime>10</TotalTime>
  <ScaleCrop>false</ScaleCrop>
  <LinksUpToDate>false</LinksUpToDate>
  <CharactersWithSpaces>1240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金钰豪</cp:lastModifiedBy>
  <dcterms:modified xsi:type="dcterms:W3CDTF">2026-07-23T08:38:18Z</dcterms:modified>
  <dc:title>周活动总结表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eyJoZGlkIjoiZGE2OTUwMWVkNjYwMjVjYmIzNDdlYTJhOGRhMWM4ZTAiLCJ1c2VySWQiOiIxNjQ2MDg4MDM0In0=</vt:lpwstr>
  </property>
  <property fmtid="{D5CDD505-2E9C-101B-9397-08002B2CF9AE}" pid="3" name="KSOProductBuildVer">
    <vt:lpwstr>2052-12.1.0.19302</vt:lpwstr>
  </property>
  <property fmtid="{D5CDD505-2E9C-101B-9397-08002B2CF9AE}" pid="4" name="ICV">
    <vt:lpwstr>8705F437B82848C99E86E1AF356B5DDF_12</vt:lpwstr>
  </property>
</Properties>
</file>