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27</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04/05/24</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spent the majority of the class time addressing the error that I had gotten over spring break, which included integrating multiple scorers into the FilteringAnomalyModel. I was successful in getting my FilteringAnomalyModel to work individually, but I am still having a hard time combining the two. I am receiving more errors as I analyze and modify the time series to solve the current error. As a result, I expect to finish integrating multiple scorers by the end of next week.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During this class period, I was taught by Dr. Gabor along with my classmates on the guidelines of the research poster. Specifically, we went over the things to do and not to do in our research poster. Following this talk, I prepared my poster by duplicating the PowerPoint file from Schoology into Google Drive. </w:t>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04/08/24</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majority of the class, I worked on my poster. I analyzed the posters in the hall and started writing the different segments. First, I modified the abstract that I wrote for the proposal at the beginning of the year and then I started collecting graphs and other such metric measures for the different sections of my poster. In addition to gathering all the materials I intended to put on the poster, I started drafting my final presentation. I learned that the presentation length should be approximately 12 minutes in order to leave room for questions and miscellaneous tasks. I am thinking about shortening my introduction, but am finding it difficult due to the sheer amount of background knowledge necessary to understand the importance of the topic. I hope to prevent the poster from also being too complex. Next class, I will wrap up the coding and finish implementing the multiple scorer addition to the FilteringAnomalyModel.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t xml:space="preserve">April 12</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