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7</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10/6/23</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class time to graph my model’s simulation of data. The synthetic data was very close to the actual data. Other than slight noise and variations that were expected, the data produced was expected. If the quality of my multivariate time series data looks similar to these results, I believe that it will increase my accuracy significantly. After troubleshooting and getting this code segment to work, I looked at organizing my data. I reviewed every code segment to ensure that I understand the concepts and the structures of the GAN itself.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10/10/23</w: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 of town on this day. I came back on Wednesday, so I wasn’t able to do much. However, I dedicated 2 hours of my Wednesday afternoon to understanding the changes necessary for multivariate time series simulation. This is the video I am watching: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https://www.youtube.com/watch?v=hV5_3YaQ3vk</w:t>
        </w:r>
      </w:hyperlink>
      <w:r w:rsidDel="00000000" w:rsidR="00000000" w:rsidRPr="00000000">
        <w:rPr>
          <w:rFonts w:ascii="Times New Roman" w:cs="Times New Roman" w:eastAsia="Times New Roman" w:hAnsi="Times New Roman"/>
          <w:sz w:val="24"/>
          <w:szCs w:val="24"/>
          <w:rtl w:val="0"/>
        </w:rPr>
        <w:t xml:space="preserve">. I am writing notes and hope to understand this by the end of the class on 10/13/23. </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13,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V5_3YaQ3vk"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