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Liberation Sans" w:hAnsi="Liberation Sans"/>
          <w:b/>
          <w:sz w:val="28"/>
        </w:rPr>
        <w:t>Aman Kumar</w:t>
      </w:r>
    </w:p>
    <w:p>
      <w:pPr>
        <w:jc w:val="center"/>
      </w:pPr>
      <w:r>
        <w:rPr>
          <w:rFonts w:ascii="Liberation Sans" w:hAnsi="Liberation Sans"/>
          <w:color w:val="505050"/>
          <w:sz w:val="18"/>
        </w:rPr>
        <w:t>+1 236-885-2285 | amankumar7111@outlook.com | linkedin.com/in/aman1776 | Vancouver, BC</w:t>
      </w:r>
    </w:p>
    <w:p>
      <w:pPr>
        <w:spacing w:before="160" w:after="40"/>
        <w:pBdr>
          <w:bottom w:val="single" w:sz="4" w:space="1" w:color="000000"/>
        </w:pBdr>
      </w:pPr>
      <w:r>
        <w:rPr>
          <w:rFonts w:ascii="Liberation Sans" w:hAnsi="Liberation Sans"/>
          <w:b/>
          <w:sz w:val="24"/>
        </w:rPr>
        <w:t>PROFESSIONAL SUMMARY</w:t>
      </w:r>
    </w:p>
    <w:p>
      <w:pPr>
        <w:spacing w:after="40" w:before="0"/>
      </w:pPr>
      <w:r>
        <w:rPr>
          <w:rFonts w:ascii="Liberation Sans" w:hAnsi="Liberation Sans"/>
          <w:b w:val="0"/>
          <w:i w:val="0"/>
          <w:sz w:val="20"/>
        </w:rPr>
        <w:t>Operations executive who built multi-site operational infrastructure from scratch, scaling a healthcare organization from 3 to 70 employees across 32 locations, then directed the full-cycle execution of a $17M acquisition. Combines strategic thinking with hands-on execution — equally comfortable building financial models, designing governance rhythms, and leading cross-functional teams through complex integration programs.</w:t>
      </w:r>
    </w:p>
    <w:p>
      <w:pPr>
        <w:spacing w:before="160" w:after="40"/>
        <w:pBdr>
          <w:bottom w:val="single" w:sz="4" w:space="1" w:color="000000"/>
        </w:pBdr>
      </w:pPr>
      <w:r>
        <w:rPr>
          <w:rFonts w:ascii="Liberation Sans" w:hAnsi="Liberation Sans"/>
          <w:b/>
          <w:sz w:val="24"/>
        </w:rPr>
        <w:t>CORE COMPETENCIES</w:t>
      </w:r>
    </w:p>
    <w:p>
      <w:pPr>
        <w:spacing w:after="40" w:before="0"/>
      </w:pPr>
      <w:r>
        <w:rPr>
          <w:rFonts w:ascii="Liberation Sans" w:hAnsi="Liberation Sans"/>
          <w:b w:val="0"/>
          <w:i w:val="0"/>
          <w:sz w:val="18"/>
        </w:rPr>
        <w:t>M&amp;A Integration &amp; Execution  |  Cross-Functional Program Management  |  Operational Infrastructure Design  |  Strategic Planning &amp; OKRs  |  P&amp;L Management &amp; Financial Modeling  |  Board &amp; Executive Reporting  |  Multi-Site Operations  |  Change Management  |  Due Diligence  |  Playbook Creation</w:t>
      </w:r>
    </w:p>
    <w:p>
      <w:pPr>
        <w:spacing w:before="160" w:after="40"/>
        <w:pBdr>
          <w:bottom w:val="single" w:sz="4" w:space="1" w:color="000000"/>
        </w:pBdr>
      </w:pPr>
      <w:r>
        <w:rPr>
          <w:rFonts w:ascii="Liberation Sans" w:hAnsi="Liberation Sans"/>
          <w:b/>
          <w:sz w:val="24"/>
        </w:rPr>
        <w:t>PROFESSIONAL EXPERIENCE</w:t>
      </w:r>
    </w:p>
    <w:p>
      <w:pPr>
        <w:spacing w:after="0" w:before="80"/>
      </w:pPr>
      <w:r>
        <w:rPr>
          <w:rFonts w:ascii="Liberation Sans" w:hAnsi="Liberation Sans"/>
          <w:b/>
          <w:sz w:val="20"/>
        </w:rPr>
        <w:t>SkyflyMD</w:t>
      </w:r>
      <w:r>
        <w:rPr>
          <w:rFonts w:ascii="Liberation Sans" w:hAnsi="Liberation Sans"/>
          <w:sz w:val="20"/>
        </w:rPr>
        <w:t xml:space="preserve">  |  Director of Operations  |  Phoenix, AZ / Vancouver, BC  |  2017 – 2025</w:t>
      </w:r>
    </w:p>
    <w:p>
      <w:pPr>
        <w:spacing w:after="40" w:before="0"/>
      </w:pPr>
      <w:r>
        <w:rPr>
          <w:rFonts w:ascii="Liberation Sans" w:hAnsi="Liberation Sans"/>
          <w:b w:val="0"/>
          <w:i/>
          <w:sz w:val="18"/>
        </w:rPr>
        <w:t>Directed end-to-end operations for a multi-site healthcare group. Served as the primary bridge between executive leadership and all operational teams — translating strategic direction into executable plans across clinical operations, scheduling, finance, quality assurance, and provider relations. Built every system from zero — no playbook existed.</w:t>
      </w:r>
    </w:p>
    <w:p>
      <w:pPr>
        <w:spacing w:after="20" w:before="0"/>
        <w:ind w:left="360" w:hanging="360"/>
      </w:pPr>
      <w:r>
        <w:rPr>
          <w:rFonts w:ascii="Liberation Sans" w:hAnsi="Liberation Sans"/>
          <w:b/>
          <w:sz w:val="20"/>
        </w:rPr>
        <w:t>• Full-Cycle Acquisition Execution</w:t>
      </w:r>
      <w:r>
        <w:rPr>
          <w:rFonts w:ascii="Liberation Sans" w:hAnsi="Liberation Sans"/>
          <w:sz w:val="20"/>
        </w:rPr>
        <w:t xml:space="preserve"> — structured 8 concurrent due diligence workstreams spanning finance, legal, operations, and provider contracts. Built end-to-end integration playbook with Day 1 and Day 100 milestones. Retained 100% of key talent through the $17M transition.</w:t>
      </w:r>
    </w:p>
    <w:p>
      <w:pPr>
        <w:spacing w:after="20" w:before="0"/>
        <w:ind w:left="360" w:hanging="360"/>
      </w:pPr>
      <w:r>
        <w:rPr>
          <w:rFonts w:ascii="Liberation Sans" w:hAnsi="Liberation Sans"/>
          <w:b/>
          <w:sz w:val="20"/>
        </w:rPr>
        <w:t>• Multi-Site Operating System</w:t>
      </w:r>
      <w:r>
        <w:rPr>
          <w:rFonts w:ascii="Liberation Sans" w:hAnsi="Liberation Sans"/>
          <w:sz w:val="20"/>
        </w:rPr>
        <w:t xml:space="preserve"> — designed communication protocols, decision-making frameworks, leadership meeting cadences, escalation paths, and department playbooks across 5 clinic groups in multiple states.</w:t>
      </w:r>
    </w:p>
    <w:p>
      <w:pPr>
        <w:spacing w:after="20" w:before="0"/>
        <w:ind w:left="360" w:hanging="360"/>
      </w:pPr>
      <w:r>
        <w:rPr>
          <w:rFonts w:ascii="Liberation Sans" w:hAnsi="Liberation Sans"/>
          <w:b/>
          <w:sz w:val="20"/>
        </w:rPr>
        <w:t>• Organizational Infrastructure</w:t>
      </w:r>
      <w:r>
        <w:rPr>
          <w:rFonts w:ascii="Liberation Sans" w:hAnsi="Liberation Sans"/>
          <w:sz w:val="20"/>
        </w:rPr>
        <w:t xml:space="preserve"> — built hiring frameworks, role families, training programs with sub-30-day ramp time, cross-border team coordination (India → US → Canada), and 100% quality standards.</w:t>
      </w:r>
    </w:p>
    <w:p>
      <w:pPr>
        <w:spacing w:after="20" w:before="0"/>
        <w:ind w:left="360" w:hanging="360"/>
      </w:pPr>
      <w:r>
        <w:rPr>
          <w:rFonts w:ascii="Liberation Sans" w:hAnsi="Liberation Sans"/>
          <w:b/>
          <w:sz w:val="20"/>
        </w:rPr>
        <w:t>• Strategic Planning &amp; OKR System</w:t>
      </w:r>
      <w:r>
        <w:rPr>
          <w:rFonts w:ascii="Liberation Sans" w:hAnsi="Liberation Sans"/>
          <w:sz w:val="20"/>
        </w:rPr>
        <w:t xml:space="preserve"> — designed and managed company-wide OKR system across 5 consecutive planning cycles with consistent attainment across all operational metrics. Built board-level reporting templates, financial models, and departmental budget ownership across 12 departments.</w:t>
      </w:r>
    </w:p>
    <w:p>
      <w:pPr>
        <w:spacing w:after="20" w:before="0"/>
        <w:ind w:left="360" w:hanging="360"/>
      </w:pPr>
      <w:r>
        <w:rPr>
          <w:rFonts w:ascii="Liberation Sans" w:hAnsi="Liberation Sans"/>
          <w:b/>
          <w:sz w:val="20"/>
        </w:rPr>
        <w:t>• Technology Transformation</w:t>
      </w:r>
      <w:r>
        <w:rPr>
          <w:rFonts w:ascii="Liberation Sans" w:hAnsi="Liberation Sans"/>
          <w:sz w:val="20"/>
        </w:rPr>
        <w:t xml:space="preserve"> — led technology transformation across all 32 locations: EHR migration, RCM system implementation, billing automation, scheduling optimization, and telemedicine deployment.</w:t>
      </w:r>
    </w:p>
    <w:p>
      <w:pPr>
        <w:spacing w:after="0" w:before="120"/>
      </w:pPr>
      <w:r>
        <w:rPr>
          <w:rFonts w:ascii="Liberation Sans" w:hAnsi="Liberation Sans"/>
          <w:b/>
          <w:sz w:val="20"/>
        </w:rPr>
        <w:t>Earlier Career</w:t>
      </w:r>
    </w:p>
    <w:p>
      <w:pPr>
        <w:spacing w:after="20" w:before="0"/>
        <w:ind w:left="360" w:hanging="360"/>
      </w:pPr>
      <w:r>
        <w:rPr>
          <w:rFonts w:ascii="Liberation Sans" w:hAnsi="Liberation Sans"/>
          <w:b/>
          <w:sz w:val="20"/>
        </w:rPr>
        <w:t>• Digital Marketing Manager</w:t>
      </w:r>
      <w:r>
        <w:rPr>
          <w:rFonts w:ascii="Liberation Sans" w:hAnsi="Liberation Sans"/>
          <w:sz w:val="20"/>
        </w:rPr>
        <w:t xml:space="preserve"> — led digital strategy, campaign analytics, and ROI measurement for multi-channel marketing programs (2016–2018).</w:t>
      </w:r>
    </w:p>
    <w:p>
      <w:pPr>
        <w:spacing w:after="20" w:before="0"/>
        <w:ind w:left="360" w:hanging="360"/>
      </w:pPr>
      <w:r>
        <w:rPr>
          <w:rFonts w:ascii="Liberation Sans" w:hAnsi="Liberation Sans"/>
          <w:b/>
          <w:sz w:val="20"/>
        </w:rPr>
        <w:t>• Client Services Representative</w:t>
      </w:r>
      <w:r>
        <w:rPr>
          <w:rFonts w:ascii="Liberation Sans" w:hAnsi="Liberation Sans"/>
          <w:sz w:val="20"/>
        </w:rPr>
        <w:t xml:space="preserve"> — managed client escalations, resolved complex service issues, and maintained satisfaction metrics (2014–2016).</w:t>
      </w:r>
    </w:p>
    <w:p>
      <w:pPr>
        <w:spacing w:before="160" w:after="40"/>
        <w:pBdr>
          <w:bottom w:val="single" w:sz="4" w:space="1" w:color="000000"/>
        </w:pBdr>
      </w:pPr>
      <w:r>
        <w:rPr>
          <w:rFonts w:ascii="Liberation Sans" w:hAnsi="Liberation Sans"/>
          <w:b/>
          <w:sz w:val="24"/>
        </w:rPr>
        <w:t>EDUCATION</w:t>
      </w:r>
    </w:p>
    <w:p>
      <w:pPr>
        <w:spacing w:after="0" w:before="0"/>
      </w:pPr>
      <w:r>
        <w:rPr>
          <w:rFonts w:ascii="Liberation Sans" w:hAnsi="Liberation Sans"/>
          <w:b/>
          <w:i w:val="0"/>
          <w:sz w:val="20"/>
        </w:rPr>
        <w:t>Master of Business Administration (MBA)</w:t>
      </w:r>
    </w:p>
    <w:p>
      <w:pPr>
        <w:spacing w:after="0" w:before="0"/>
      </w:pPr>
      <w:r>
        <w:rPr>
          <w:rFonts w:ascii="Liberation Sans" w:hAnsi="Liberation Sans"/>
          <w:b w:val="0"/>
          <w:i w:val="0"/>
          <w:sz w:val="18"/>
        </w:rPr>
        <w:t>Post-Baccalaureate Diploma in Business Management — Kwantlen Polytechnic University, Surrey, BC</w:t>
      </w:r>
    </w:p>
    <w:p>
      <w:pPr>
        <w:spacing w:after="0" w:before="0"/>
      </w:pPr>
      <w:r>
        <w:rPr>
          <w:rFonts w:ascii="Liberation Sans" w:hAnsi="Liberation Sans"/>
          <w:b w:val="0"/>
          <w:i w:val="0"/>
          <w:sz w:val="18"/>
        </w:rPr>
        <w:t>Bachelor of Science, Information Technology</w:t>
      </w:r>
    </w:p>
    <w:p>
      <w:pPr>
        <w:spacing w:before="160" w:after="40"/>
        <w:pBdr>
          <w:bottom w:val="single" w:sz="4" w:space="1" w:color="000000"/>
        </w:pBdr>
      </w:pPr>
      <w:r>
        <w:rPr>
          <w:rFonts w:ascii="Liberation Sans" w:hAnsi="Liberation Sans"/>
          <w:b/>
          <w:sz w:val="24"/>
        </w:rPr>
        <w:t>TECHNICAL PROFICIENCY</w:t>
      </w:r>
    </w:p>
    <w:p>
      <w:pPr>
        <w:spacing w:after="40" w:before="0"/>
      </w:pPr>
      <w:r>
        <w:rPr>
          <w:rFonts w:ascii="Liberation Sans" w:hAnsi="Liberation Sans"/>
          <w:b w:val="0"/>
          <w:i w:val="0"/>
          <w:sz w:val="18"/>
        </w:rPr>
        <w:t>Athenahealth  |  eClinicalWorks  |  CRM Platforms  |  Google Workspace  |  Financial Modeling &amp; Analysis  |  OKR Frameworks  |  Jira / Confluence  |  Data Visualization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