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0ACD" w:rsidRDefault="00CA6A9E">
      <w:pPr>
        <w:pStyle w:val="1"/>
        <w:ind w:left="-5"/>
      </w:pPr>
      <w:r>
        <w:t>OVERVIEW</w:t>
      </w:r>
      <w:r>
        <w:rPr>
          <w:u w:val="none"/>
        </w:rPr>
        <w:t xml:space="preserve"> </w:t>
      </w:r>
    </w:p>
    <w:p w:rsidR="00E50ACD" w:rsidRDefault="00CA6A9E">
      <w:pPr>
        <w:ind w:left="-5"/>
      </w:pPr>
      <w:r>
        <w:t>Local Law 84 of 2009, or the NYC Benchmarking Law, requires annual benchmarking and disclosure of energy and water usage information. Covered properties include tax lots with a single building with a gross floor area greater than 50,000 square feet (</w:t>
      </w:r>
      <w:proofErr w:type="spellStart"/>
      <w:r>
        <w:t>sq</w:t>
      </w:r>
      <w:proofErr w:type="spellEnd"/>
      <w:r>
        <w:t xml:space="preserve"> ft)</w:t>
      </w:r>
      <w:r>
        <w:t xml:space="preserve"> and tax lots having more than one building with a gross floor area of more than 100,000 </w:t>
      </w:r>
      <w:proofErr w:type="spellStart"/>
      <w:r>
        <w:t>sq</w:t>
      </w:r>
      <w:proofErr w:type="spellEnd"/>
      <w:r>
        <w:t xml:space="preserve"> ft. Starting in 2018, the NYC Benchmarking Law will also include properties greater than 25,000 </w:t>
      </w:r>
      <w:proofErr w:type="spellStart"/>
      <w:r>
        <w:t>sq</w:t>
      </w:r>
      <w:proofErr w:type="spellEnd"/>
      <w:r>
        <w:t xml:space="preserve"> ft. </w:t>
      </w:r>
    </w:p>
    <w:p w:rsidR="00E50ACD" w:rsidRDefault="00CA6A9E">
      <w:pPr>
        <w:spacing w:after="0" w:line="259" w:lineRule="auto"/>
        <w:ind w:left="0" w:firstLine="0"/>
      </w:pPr>
      <w:r>
        <w:t xml:space="preserve"> </w:t>
      </w:r>
    </w:p>
    <w:p w:rsidR="00E50ACD" w:rsidRDefault="00CA6A9E">
      <w:pPr>
        <w:ind w:left="-5"/>
      </w:pPr>
      <w:r>
        <w:t>This data set includes information reported to the City by</w:t>
      </w:r>
      <w:r>
        <w:t xml:space="preserve"> August 1, 2016 for calendar year 2015 energy and water consumption data and data from the 2016 Covered Buildings List.  Metrics are calculated by the Environmental Protection Agency’s tool ENERGY STAR Portfolio Manager, and data is self-reporting by build</w:t>
      </w:r>
      <w:r>
        <w:t xml:space="preserve">ing owners. The public availability of data allows for local and national comparison of a buildings’ performance, incentivizes the most accurate benchmarking of energy usage, and informs energy management decisions. </w:t>
      </w:r>
    </w:p>
    <w:p w:rsidR="00E50ACD" w:rsidRDefault="00CA6A9E">
      <w:pPr>
        <w:spacing w:after="0" w:line="259" w:lineRule="auto"/>
        <w:ind w:left="0" w:firstLine="0"/>
      </w:pPr>
      <w:r>
        <w:t xml:space="preserve"> </w:t>
      </w:r>
    </w:p>
    <w:p w:rsidR="00E50ACD" w:rsidRDefault="00CA6A9E">
      <w:pPr>
        <w:pStyle w:val="1"/>
        <w:ind w:left="-5"/>
      </w:pPr>
      <w:r>
        <w:t>DEFINITION OF DATA FIELDS</w:t>
      </w:r>
      <w:r>
        <w:rPr>
          <w:u w:val="none"/>
        </w:rPr>
        <w:t xml:space="preserve"> </w:t>
      </w:r>
    </w:p>
    <w:p w:rsidR="00E50ACD" w:rsidRDefault="00CA6A9E">
      <w:pPr>
        <w:ind w:left="-5"/>
      </w:pPr>
      <w:r>
        <w:t>The follow</w:t>
      </w:r>
      <w:r>
        <w:t xml:space="preserve">ing fields are included on the disclosure list (in order of appearance): </w:t>
      </w:r>
    </w:p>
    <w:p w:rsidR="00E50ACD" w:rsidRDefault="00CA6A9E">
      <w:pPr>
        <w:spacing w:after="0" w:line="259" w:lineRule="auto"/>
        <w:ind w:left="0" w:firstLine="0"/>
      </w:pPr>
      <w:r>
        <w:rPr>
          <w:b/>
        </w:rPr>
        <w:t xml:space="preserve"> </w:t>
      </w:r>
    </w:p>
    <w:p w:rsidR="00E50ACD" w:rsidRDefault="00CA6A9E">
      <w:pPr>
        <w:spacing w:after="0" w:line="259" w:lineRule="auto"/>
        <w:ind w:left="720" w:firstLine="0"/>
      </w:pPr>
      <w:r>
        <w:rPr>
          <w:b/>
        </w:rPr>
        <w:t xml:space="preserve"> </w:t>
      </w:r>
    </w:p>
    <w:tbl>
      <w:tblPr>
        <w:tblStyle w:val="TableGrid"/>
        <w:tblW w:w="11520" w:type="dxa"/>
        <w:tblInd w:w="-14" w:type="dxa"/>
        <w:tblCellMar>
          <w:top w:w="46" w:type="dxa"/>
          <w:left w:w="106" w:type="dxa"/>
          <w:bottom w:w="6" w:type="dxa"/>
          <w:right w:w="64" w:type="dxa"/>
        </w:tblCellMar>
        <w:tblLook w:val="04A0" w:firstRow="1" w:lastRow="0" w:firstColumn="1" w:lastColumn="0" w:noHBand="0" w:noVBand="1"/>
      </w:tblPr>
      <w:tblGrid>
        <w:gridCol w:w="2986"/>
        <w:gridCol w:w="8534"/>
      </w:tblGrid>
      <w:tr w:rsidR="00E50ACD">
        <w:trPr>
          <w:trHeight w:val="377"/>
        </w:trPr>
        <w:tc>
          <w:tcPr>
            <w:tcW w:w="2986" w:type="dxa"/>
            <w:tcBorders>
              <w:top w:val="single" w:sz="8"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sz w:val="28"/>
              </w:rPr>
              <w:t xml:space="preserve">Field </w:t>
            </w:r>
          </w:p>
        </w:tc>
        <w:tc>
          <w:tcPr>
            <w:tcW w:w="8534" w:type="dxa"/>
            <w:tcBorders>
              <w:top w:val="single" w:sz="8"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rPr>
                <w:b/>
                <w:sz w:val="28"/>
              </w:rPr>
              <w:t xml:space="preserve">Definition </w:t>
            </w:r>
          </w:p>
        </w:tc>
      </w:tr>
      <w:tr w:rsidR="00E50ACD">
        <w:trPr>
          <w:trHeight w:val="1082"/>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Record Number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Number assigned to each benchmarking submission by DOF. This value is unique for each record represented by the BBL field. Note that if there was no benchmarking submission received by the Department of Finance then there is no assigned Entry Number in the</w:t>
            </w:r>
            <w:r>
              <w:t xml:space="preserve"> column. </w:t>
            </w:r>
          </w:p>
        </w:tc>
      </w:tr>
      <w:tr w:rsidR="00E50ACD">
        <w:trPr>
          <w:trHeight w:val="300"/>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Order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Order of BBLs on the disclosure data set </w:t>
            </w:r>
          </w:p>
        </w:tc>
      </w:tr>
      <w:tr w:rsidR="00E50ACD">
        <w:trPr>
          <w:trHeight w:val="1889"/>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NYC Borough, Block, and Lot (BBL)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10-</w:t>
            </w:r>
            <w:r>
              <w:t xml:space="preserve">digit property borough, block and lot identifier, originally entered into the "Property </w:t>
            </w:r>
          </w:p>
          <w:p w:rsidR="00E50ACD" w:rsidRDefault="00CA6A9E">
            <w:pPr>
              <w:spacing w:after="0" w:line="259" w:lineRule="auto"/>
              <w:ind w:left="0" w:firstLine="0"/>
            </w:pPr>
            <w:r>
              <w:t>Notes" field in Portfolio Manager and then verified and corrected, as necessary, by the Department of Finance (DOF). The first number represents the borough, where 1 i</w:t>
            </w:r>
            <w:r>
              <w:t>s Manhattan, 2 is the Bronx, 3 is Brooklyn, 4 is Queens, and 5 is Staten Island. The following five numbers represent the tax block. If a property has a tax block that is less than 5 digits, then zeros are added before the block number so there are five di</w:t>
            </w:r>
            <w:r>
              <w:t xml:space="preserve">gits in total.  The last four digits are the tax lot number. </w:t>
            </w:r>
          </w:p>
        </w:tc>
      </w:tr>
      <w:tr w:rsidR="00E50ACD">
        <w:trPr>
          <w:trHeight w:val="1622"/>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Co-reported BBL Status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39" w:lineRule="auto"/>
              <w:ind w:left="0" w:firstLine="0"/>
            </w:pPr>
            <w:r>
              <w:t xml:space="preserve">In cases where multiple BBLs were reported together (with aggregated energy, area, and water data), the first BBL listed is designated as "Primary," while the subsequent BBLs are designated "Secondary."  </w:t>
            </w:r>
          </w:p>
          <w:p w:rsidR="00E50ACD" w:rsidRDefault="00CA6A9E">
            <w:pPr>
              <w:spacing w:after="0" w:line="259" w:lineRule="auto"/>
              <w:ind w:left="0" w:firstLine="0"/>
            </w:pPr>
            <w:r>
              <w:t>For these co-reported BBLs, this disclosure list re</w:t>
            </w:r>
            <w:r>
              <w:t xml:space="preserve">ports energy, area, GHG, and water metrics in the "Primary" BBL entry, only. "Secondary" records refer the user back to the "Primary" BBL record. </w:t>
            </w:r>
          </w:p>
        </w:tc>
      </w:tr>
      <w:tr w:rsidR="00E50ACD">
        <w:trPr>
          <w:trHeight w:val="29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BBLs Co-reported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Lists the BBLs that were reported together through the Portfolio Manager tool.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Reported NYC Building </w:t>
            </w:r>
          </w:p>
          <w:p w:rsidR="00E50ACD" w:rsidRDefault="00CA6A9E">
            <w:pPr>
              <w:spacing w:after="0" w:line="259" w:lineRule="auto"/>
              <w:ind w:left="2" w:firstLine="0"/>
            </w:pPr>
            <w:r>
              <w:rPr>
                <w:b/>
              </w:rPr>
              <w:t xml:space="preserve">Identification Numbers (BINs)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Self-reported seven-digit building identification number. </w:t>
            </w:r>
          </w:p>
        </w:tc>
      </w:tr>
      <w:tr w:rsidR="00E50ACD">
        <w:trPr>
          <w:trHeight w:val="29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Property Name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Basic property information includes property name.  </w:t>
            </w:r>
          </w:p>
        </w:tc>
      </w:tr>
      <w:tr w:rsidR="00E50ACD">
        <w:trPr>
          <w:trHeight w:val="29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Parent Property ID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The ID for the campus is referred to as the Parent Property ID. </w:t>
            </w:r>
          </w:p>
        </w:tc>
      </w:tr>
      <w:tr w:rsidR="00E50ACD">
        <w:trPr>
          <w:trHeight w:val="1354"/>
        </w:trPr>
        <w:tc>
          <w:tcPr>
            <w:tcW w:w="2986" w:type="dxa"/>
            <w:tcBorders>
              <w:top w:val="single" w:sz="4" w:space="0" w:color="000000"/>
              <w:left w:val="single" w:sz="8" w:space="0" w:color="000000"/>
              <w:bottom w:val="single" w:sz="4" w:space="0" w:color="000000"/>
              <w:right w:val="single" w:sz="4" w:space="0" w:color="000000"/>
            </w:tcBorders>
            <w:vAlign w:val="bottom"/>
          </w:tcPr>
          <w:p w:rsidR="00E50ACD" w:rsidRDefault="00CA6A9E">
            <w:pPr>
              <w:spacing w:after="0" w:line="259" w:lineRule="auto"/>
              <w:ind w:left="2" w:firstLine="0"/>
            </w:pPr>
            <w:r>
              <w:rPr>
                <w:b/>
              </w:rPr>
              <w:lastRenderedPageBreak/>
              <w:t xml:space="preserve">Parent Property Name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When you are benchmark a campus (or, collection of buildings) you can track information for the entire campus, as well as for individual buildings on the campus. If you choose to track at both of these levels, then you have "parent-child" relationship. The</w:t>
            </w:r>
            <w:r>
              <w:t xml:space="preserve"> "parent" is the entire campus or complex. That is, the parent is the multi-building property for which you have also chosen to benchmark individual buildings separately. </w:t>
            </w:r>
          </w:p>
        </w:tc>
      </w:tr>
      <w:tr w:rsidR="00E50ACD">
        <w:trPr>
          <w:trHeight w:val="29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Street Number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House number for the property, per DOF records. </w:t>
            </w:r>
          </w:p>
        </w:tc>
      </w:tr>
      <w:tr w:rsidR="00E50ACD">
        <w:trPr>
          <w:trHeight w:val="29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Street Name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Street name for the property, per DOF records. </w:t>
            </w:r>
          </w:p>
        </w:tc>
      </w:tr>
      <w:tr w:rsidR="00E50ACD">
        <w:trPr>
          <w:trHeight w:val="300"/>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Zip Code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Postal zip code for the property, per DOF records. </w:t>
            </w:r>
          </w:p>
        </w:tc>
      </w:tr>
    </w:tbl>
    <w:p w:rsidR="00E50ACD" w:rsidRDefault="00E50ACD">
      <w:pPr>
        <w:spacing w:after="0" w:line="259" w:lineRule="auto"/>
        <w:ind w:left="-288" w:right="11041" w:firstLine="0"/>
      </w:pPr>
    </w:p>
    <w:tbl>
      <w:tblPr>
        <w:tblStyle w:val="TableGrid"/>
        <w:tblW w:w="11520" w:type="dxa"/>
        <w:tblInd w:w="-14" w:type="dxa"/>
        <w:tblCellMar>
          <w:top w:w="41" w:type="dxa"/>
          <w:left w:w="106" w:type="dxa"/>
          <w:bottom w:w="5" w:type="dxa"/>
          <w:right w:w="64" w:type="dxa"/>
        </w:tblCellMar>
        <w:tblLook w:val="04A0" w:firstRow="1" w:lastRow="0" w:firstColumn="1" w:lastColumn="0" w:noHBand="0" w:noVBand="1"/>
      </w:tblPr>
      <w:tblGrid>
        <w:gridCol w:w="2986"/>
        <w:gridCol w:w="8534"/>
      </w:tblGrid>
      <w:tr w:rsidR="00E50ACD">
        <w:trPr>
          <w:trHeight w:val="293"/>
        </w:trPr>
        <w:tc>
          <w:tcPr>
            <w:tcW w:w="2986" w:type="dxa"/>
            <w:tcBorders>
              <w:top w:val="nil"/>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Borough </w:t>
            </w:r>
          </w:p>
        </w:tc>
        <w:tc>
          <w:tcPr>
            <w:tcW w:w="8534" w:type="dxa"/>
            <w:tcBorders>
              <w:top w:val="nil"/>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Borough for the property, per DOF records. </w:t>
            </w:r>
          </w:p>
        </w:tc>
      </w:tr>
      <w:tr w:rsidR="00E50ACD">
        <w:trPr>
          <w:trHeight w:val="874"/>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DOF Benchmarking Submission Status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Indicates whether DOF has received a benchmarking submission for the property as of </w:t>
            </w:r>
            <w:r>
              <w:rPr>
                <w:b/>
              </w:rPr>
              <w:t>08/01/14</w:t>
            </w:r>
            <w:r>
              <w:t xml:space="preserve">. It should be noted that this is not necessarily an indication of compliance, which is confirmed by the code enforcement division in the Department of Buildings at a later date.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Primary Property Type - Self Selected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Self-</w:t>
            </w:r>
            <w:r>
              <w:t xml:space="preserve">reported property type options available in Portfolio Manager.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List of All Property Use Types at Property </w:t>
            </w:r>
          </w:p>
        </w:tc>
        <w:tc>
          <w:tcPr>
            <w:tcW w:w="8534" w:type="dxa"/>
            <w:tcBorders>
              <w:top w:val="single" w:sz="4" w:space="0" w:color="000000"/>
              <w:left w:val="single" w:sz="4" w:space="0" w:color="000000"/>
              <w:bottom w:val="single" w:sz="4" w:space="0" w:color="000000"/>
              <w:right w:val="single" w:sz="8" w:space="0" w:color="000000"/>
            </w:tcBorders>
            <w:vAlign w:val="bottom"/>
          </w:tcPr>
          <w:p w:rsidR="00E50ACD" w:rsidRDefault="00CA6A9E">
            <w:pPr>
              <w:spacing w:after="0" w:line="259" w:lineRule="auto"/>
              <w:ind w:left="0" w:firstLine="0"/>
            </w:pPr>
            <w:r>
              <w:t xml:space="preserve">A comma delimited list of all the property types for a single property, in alphabetical order.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Largest Property Use Type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The name of the Property Type (ex: Office) that has the largest Gross Floor Area (GFA) for that property.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Largest Property Use Type - Gross Floor Area (ft²) </w:t>
            </w:r>
          </w:p>
        </w:tc>
        <w:tc>
          <w:tcPr>
            <w:tcW w:w="8534" w:type="dxa"/>
            <w:tcBorders>
              <w:top w:val="single" w:sz="4" w:space="0" w:color="000000"/>
              <w:left w:val="single" w:sz="4" w:space="0" w:color="000000"/>
              <w:bottom w:val="single" w:sz="4" w:space="0" w:color="000000"/>
              <w:right w:val="single" w:sz="8" w:space="0" w:color="000000"/>
            </w:tcBorders>
            <w:vAlign w:val="bottom"/>
          </w:tcPr>
          <w:p w:rsidR="00E50ACD" w:rsidRDefault="00CA6A9E">
            <w:pPr>
              <w:spacing w:after="0" w:line="259" w:lineRule="auto"/>
              <w:ind w:left="0" w:firstLine="0"/>
            </w:pPr>
            <w:r>
              <w:t xml:space="preserve">The GFA for the largest Property Type.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2nd Largest Property Use </w:t>
            </w:r>
          </w:p>
          <w:p w:rsidR="00E50ACD" w:rsidRDefault="00CA6A9E">
            <w:pPr>
              <w:spacing w:after="0" w:line="259" w:lineRule="auto"/>
              <w:ind w:left="2" w:firstLine="0"/>
            </w:pPr>
            <w:r>
              <w:rPr>
                <w:b/>
              </w:rPr>
              <w:t xml:space="preserve">Type </w:t>
            </w:r>
          </w:p>
        </w:tc>
        <w:tc>
          <w:tcPr>
            <w:tcW w:w="8534" w:type="dxa"/>
            <w:tcBorders>
              <w:top w:val="single" w:sz="4" w:space="0" w:color="000000"/>
              <w:left w:val="single" w:sz="4" w:space="0" w:color="000000"/>
              <w:bottom w:val="single" w:sz="4" w:space="0" w:color="000000"/>
              <w:right w:val="single" w:sz="8" w:space="0" w:color="000000"/>
            </w:tcBorders>
            <w:vAlign w:val="bottom"/>
          </w:tcPr>
          <w:p w:rsidR="00E50ACD" w:rsidRDefault="00CA6A9E">
            <w:pPr>
              <w:spacing w:after="0" w:line="259" w:lineRule="auto"/>
              <w:ind w:left="0" w:firstLine="0"/>
            </w:pPr>
            <w:r>
              <w:t xml:space="preserve">The name of the Property Type (ex: Office) that has the second largest GFA for that property.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2nd Largest Property Use - </w:t>
            </w:r>
          </w:p>
          <w:p w:rsidR="00E50ACD" w:rsidRDefault="00CA6A9E">
            <w:pPr>
              <w:spacing w:after="0" w:line="259" w:lineRule="auto"/>
              <w:ind w:left="2" w:firstLine="0"/>
            </w:pPr>
            <w:r>
              <w:rPr>
                <w:b/>
              </w:rPr>
              <w:t xml:space="preserve">Gross Floor Area (ft²) </w:t>
            </w:r>
          </w:p>
        </w:tc>
        <w:tc>
          <w:tcPr>
            <w:tcW w:w="8534" w:type="dxa"/>
            <w:tcBorders>
              <w:top w:val="single" w:sz="4" w:space="0" w:color="000000"/>
              <w:left w:val="single" w:sz="4" w:space="0" w:color="000000"/>
              <w:bottom w:val="single" w:sz="4" w:space="0" w:color="000000"/>
              <w:right w:val="single" w:sz="8" w:space="0" w:color="000000"/>
            </w:tcBorders>
            <w:vAlign w:val="bottom"/>
          </w:tcPr>
          <w:p w:rsidR="00E50ACD" w:rsidRDefault="00CA6A9E">
            <w:pPr>
              <w:spacing w:after="0" w:line="259" w:lineRule="auto"/>
              <w:ind w:left="0" w:firstLine="0"/>
            </w:pPr>
            <w:r>
              <w:t xml:space="preserve">The GFA for the second largest Property Type. </w:t>
            </w:r>
          </w:p>
        </w:tc>
      </w:tr>
      <w:tr w:rsidR="00E50ACD">
        <w:trPr>
          <w:trHeight w:val="29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3rd Largest Property Use Type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The name of the Property Type</w:t>
            </w:r>
            <w:r>
              <w:t xml:space="preserve"> (ex: Office) that has the third largest GFA for that property.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3rd Largest Property Use Type </w:t>
            </w:r>
          </w:p>
          <w:p w:rsidR="00E50ACD" w:rsidRDefault="00CA6A9E">
            <w:pPr>
              <w:spacing w:after="0" w:line="259" w:lineRule="auto"/>
              <w:ind w:left="2" w:firstLine="0"/>
            </w:pPr>
            <w:r>
              <w:rPr>
                <w:b/>
              </w:rPr>
              <w:t xml:space="preserve">- Gross Floor Area (ft²) </w:t>
            </w:r>
          </w:p>
        </w:tc>
        <w:tc>
          <w:tcPr>
            <w:tcW w:w="8534" w:type="dxa"/>
            <w:tcBorders>
              <w:top w:val="single" w:sz="4" w:space="0" w:color="000000"/>
              <w:left w:val="single" w:sz="4" w:space="0" w:color="000000"/>
              <w:bottom w:val="single" w:sz="4" w:space="0" w:color="000000"/>
              <w:right w:val="single" w:sz="8" w:space="0" w:color="000000"/>
            </w:tcBorders>
            <w:vAlign w:val="bottom"/>
          </w:tcPr>
          <w:p w:rsidR="00E50ACD" w:rsidRDefault="00CA6A9E">
            <w:pPr>
              <w:spacing w:after="0" w:line="259" w:lineRule="auto"/>
              <w:ind w:left="0" w:firstLine="0"/>
            </w:pPr>
            <w:r>
              <w:t xml:space="preserve">The GFA for the third largest Property Type. </w:t>
            </w:r>
          </w:p>
        </w:tc>
      </w:tr>
      <w:tr w:rsidR="00E50ACD">
        <w:trPr>
          <w:trHeight w:val="1085"/>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Year Built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This is the year in which your property was constructed. If your property has undergone a complete renovation that included gutting and rebuilding the interior, then you can indicate the date of this renovation as the year built. If you don't know the exac</w:t>
            </w:r>
            <w:r>
              <w:t xml:space="preserve">t year the property was built, enter an estimate. </w:t>
            </w:r>
          </w:p>
        </w:tc>
      </w:tr>
      <w:tr w:rsidR="00E50ACD">
        <w:trPr>
          <w:trHeight w:val="81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Number of Buildings - </w:t>
            </w:r>
            <w:proofErr w:type="spellStart"/>
            <w:r>
              <w:rPr>
                <w:b/>
              </w:rPr>
              <w:t>Selfreported</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Number of Buildings indicates the total number of buildings that are located on a multibuilding property. You enter this value into Portfolio Manager whenever you create a multibuilding property. </w:t>
            </w:r>
          </w:p>
        </w:tc>
      </w:tr>
      <w:tr w:rsidR="00E50ACD">
        <w:trPr>
          <w:trHeight w:val="29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Occupancy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The percentage of your property’s Gross Floor Area (GFA) that is occupied and operational.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Metered Areas (Energy)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jc w:val="both"/>
            </w:pPr>
            <w:r>
              <w:t xml:space="preserve">Metered Areas is a designation of what areas within your building are covered by your energy and water meters.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Metered </w:t>
            </w:r>
            <w:proofErr w:type="gramStart"/>
            <w:r>
              <w:rPr>
                <w:b/>
              </w:rPr>
              <w:t>Areas  (</w:t>
            </w:r>
            <w:proofErr w:type="gramEnd"/>
            <w:r>
              <w:rPr>
                <w:b/>
              </w:rPr>
              <w:t xml:space="preserve">Water)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jc w:val="both"/>
            </w:pPr>
            <w:r>
              <w:t xml:space="preserve">Metered Areas is a designation of what areas within your building are covered by your energy and water meters.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vAlign w:val="center"/>
          </w:tcPr>
          <w:p w:rsidR="00E50ACD" w:rsidRDefault="00CA6A9E">
            <w:pPr>
              <w:spacing w:after="0" w:line="259" w:lineRule="auto"/>
              <w:ind w:left="2" w:firstLine="0"/>
            </w:pPr>
            <w:r>
              <w:rPr>
                <w:b/>
              </w:rPr>
              <w:lastRenderedPageBreak/>
              <w:t xml:space="preserve">ENERGY STAR Score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1-to-100 percentile ranking for specified building types, calculated in Portfolio Manager, based on self-reported energy usa</w:t>
            </w:r>
            <w:r>
              <w:t xml:space="preserve">ge for the reporting year. </w:t>
            </w:r>
          </w:p>
        </w:tc>
      </w:tr>
      <w:tr w:rsidR="00E50ACD">
        <w:trPr>
          <w:trHeight w:val="622"/>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right="1185" w:firstLine="0"/>
            </w:pPr>
            <w:r>
              <w:rPr>
                <w:b/>
              </w:rPr>
              <w:t>Site EUI (</w:t>
            </w:r>
            <w:proofErr w:type="spellStart"/>
            <w:r>
              <w:rPr>
                <w:b/>
              </w:rPr>
              <w:t>kBtu</w:t>
            </w:r>
            <w:proofErr w:type="spellEnd"/>
            <w:r>
              <w:rPr>
                <w:b/>
              </w:rPr>
              <w:t>/ft</w:t>
            </w:r>
            <w:r>
              <w:rPr>
                <w:b/>
                <w:vertAlign w:val="superscript"/>
              </w:rPr>
              <w:t>2</w:t>
            </w:r>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right="2" w:firstLine="0"/>
            </w:pPr>
            <w:r>
              <w:t xml:space="preserve">Energy use intensity as calculated by Portfolio Manager at the property site in </w:t>
            </w:r>
            <w:proofErr w:type="spellStart"/>
            <w:r>
              <w:t>kBtus</w:t>
            </w:r>
            <w:proofErr w:type="spellEnd"/>
            <w:r>
              <w:t xml:space="preserve"> per gross square foot (</w:t>
            </w:r>
            <w:proofErr w:type="spellStart"/>
            <w:r>
              <w:t>kBtu</w:t>
            </w:r>
            <w:proofErr w:type="spellEnd"/>
            <w:r>
              <w:t>/ft</w:t>
            </w:r>
            <w:r>
              <w:rPr>
                <w:vertAlign w:val="superscript"/>
              </w:rPr>
              <w:t>2</w:t>
            </w:r>
            <w:r>
              <w:t xml:space="preserve">), for the reporting year. </w:t>
            </w:r>
          </w:p>
        </w:tc>
      </w:tr>
      <w:tr w:rsidR="00E50ACD">
        <w:trPr>
          <w:trHeight w:val="622"/>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Weather Normalized Site EUI (</w:t>
            </w:r>
            <w:proofErr w:type="spellStart"/>
            <w:r>
              <w:rPr>
                <w:b/>
              </w:rPr>
              <w:t>kBtu</w:t>
            </w:r>
            <w:proofErr w:type="spellEnd"/>
            <w:r>
              <w:rPr>
                <w:b/>
              </w:rPr>
              <w:t>/ft</w:t>
            </w:r>
            <w:r>
              <w:rPr>
                <w:b/>
                <w:vertAlign w:val="superscript"/>
              </w:rPr>
              <w:t>2</w:t>
            </w:r>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right="2" w:firstLine="0"/>
            </w:pPr>
            <w:r>
              <w:t xml:space="preserve">Energy use intensity as calculated by Portfolio Manager at the property site in </w:t>
            </w:r>
            <w:proofErr w:type="spellStart"/>
            <w:r>
              <w:t>kBtus</w:t>
            </w:r>
            <w:proofErr w:type="spellEnd"/>
            <w:r>
              <w:t xml:space="preserve"> per gross square foot (</w:t>
            </w:r>
            <w:proofErr w:type="spellStart"/>
            <w:r>
              <w:t>kBtu</w:t>
            </w:r>
            <w:proofErr w:type="spellEnd"/>
            <w:r>
              <w:t>/ft</w:t>
            </w:r>
            <w:r>
              <w:rPr>
                <w:vertAlign w:val="superscript"/>
              </w:rPr>
              <w:t>2</w:t>
            </w:r>
            <w:r>
              <w:t xml:space="preserve">) for the reporting year, normalized for weather.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Weather Normalized Site </w:t>
            </w:r>
          </w:p>
          <w:p w:rsidR="00E50ACD" w:rsidRDefault="00CA6A9E">
            <w:pPr>
              <w:spacing w:after="0" w:line="259" w:lineRule="auto"/>
              <w:ind w:left="2" w:firstLine="0"/>
            </w:pPr>
            <w:r>
              <w:rPr>
                <w:b/>
              </w:rPr>
              <w:t xml:space="preserve">Electricity Intensity (kWh/ft²)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Weather Normalized Site Energ</w:t>
            </w:r>
            <w:r>
              <w:t xml:space="preserve">y divided by property size or by flow through a water/wastewater treatment plant. </w:t>
            </w:r>
          </w:p>
        </w:tc>
      </w:tr>
      <w:tr w:rsidR="00E50ACD">
        <w:trPr>
          <w:trHeight w:val="81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Weather Normalized Site </w:t>
            </w:r>
          </w:p>
          <w:p w:rsidR="00E50ACD" w:rsidRDefault="00CA6A9E">
            <w:pPr>
              <w:spacing w:after="0" w:line="259" w:lineRule="auto"/>
              <w:ind w:left="2" w:firstLine="0"/>
            </w:pPr>
            <w:r>
              <w:rPr>
                <w:b/>
              </w:rPr>
              <w:t>Natural Gas Intensity (</w:t>
            </w:r>
            <w:proofErr w:type="spellStart"/>
            <w:r>
              <w:rPr>
                <w:b/>
              </w:rPr>
              <w:t>therms</w:t>
            </w:r>
            <w:proofErr w:type="spellEnd"/>
            <w:r>
              <w:rPr>
                <w:b/>
              </w:rPr>
              <w:t xml:space="preserve">/ft²) </w:t>
            </w:r>
          </w:p>
        </w:tc>
        <w:tc>
          <w:tcPr>
            <w:tcW w:w="8534" w:type="dxa"/>
            <w:tcBorders>
              <w:top w:val="single" w:sz="4" w:space="0" w:color="000000"/>
              <w:left w:val="single" w:sz="4" w:space="0" w:color="000000"/>
              <w:bottom w:val="single" w:sz="4" w:space="0" w:color="000000"/>
              <w:right w:val="single" w:sz="8" w:space="0" w:color="000000"/>
            </w:tcBorders>
            <w:vAlign w:val="bottom"/>
          </w:tcPr>
          <w:p w:rsidR="00E50ACD" w:rsidRDefault="00CA6A9E">
            <w:pPr>
              <w:spacing w:after="0" w:line="259" w:lineRule="auto"/>
              <w:ind w:left="0" w:firstLine="0"/>
            </w:pPr>
            <w:r>
              <w:t xml:space="preserve">Weather Normalized Site Energy divided by property size or by flow through a water/wastewater treatment plant. </w:t>
            </w:r>
          </w:p>
        </w:tc>
      </w:tr>
      <w:tr w:rsidR="00E50ACD">
        <w:trPr>
          <w:trHeight w:val="622"/>
        </w:trPr>
        <w:tc>
          <w:tcPr>
            <w:tcW w:w="2986" w:type="dxa"/>
            <w:tcBorders>
              <w:top w:val="single" w:sz="4" w:space="0" w:color="000000"/>
              <w:left w:val="single" w:sz="8" w:space="0" w:color="000000"/>
              <w:bottom w:val="single" w:sz="4" w:space="0" w:color="000000"/>
              <w:right w:val="single" w:sz="4" w:space="0" w:color="000000"/>
            </w:tcBorders>
            <w:vAlign w:val="bottom"/>
          </w:tcPr>
          <w:p w:rsidR="00E50ACD" w:rsidRDefault="00CA6A9E">
            <w:pPr>
              <w:spacing w:after="0" w:line="259" w:lineRule="auto"/>
              <w:ind w:left="2" w:right="909" w:firstLine="0"/>
            </w:pPr>
            <w:r>
              <w:rPr>
                <w:b/>
              </w:rPr>
              <w:t>Source EUI (</w:t>
            </w:r>
            <w:proofErr w:type="spellStart"/>
            <w:r>
              <w:rPr>
                <w:b/>
              </w:rPr>
              <w:t>kBtu</w:t>
            </w:r>
            <w:proofErr w:type="spellEnd"/>
            <w:r>
              <w:rPr>
                <w:b/>
              </w:rPr>
              <w:t>/ft</w:t>
            </w:r>
            <w:r>
              <w:rPr>
                <w:b/>
                <w:vertAlign w:val="superscript"/>
              </w:rPr>
              <w:t>2</w:t>
            </w:r>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intensity as calculated by Portfolio Manager at the source of energy generation in </w:t>
            </w:r>
            <w:proofErr w:type="spellStart"/>
            <w:r>
              <w:t>kBtus</w:t>
            </w:r>
            <w:proofErr w:type="spellEnd"/>
            <w:r>
              <w:t xml:space="preserve"> per gross square foot (</w:t>
            </w:r>
            <w:proofErr w:type="spellStart"/>
            <w:r>
              <w:t>kBtu</w:t>
            </w:r>
            <w:proofErr w:type="spellEnd"/>
            <w:r>
              <w:t>/ft</w:t>
            </w:r>
            <w:r>
              <w:rPr>
                <w:vertAlign w:val="superscript"/>
              </w:rPr>
              <w:t>2</w:t>
            </w:r>
            <w:r>
              <w:t xml:space="preserve">), for the reporting year. </w:t>
            </w:r>
          </w:p>
        </w:tc>
      </w:tr>
      <w:tr w:rsidR="00E50ACD">
        <w:trPr>
          <w:trHeight w:val="81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Weather Normalized Source </w:t>
            </w:r>
          </w:p>
          <w:p w:rsidR="00E50ACD" w:rsidRDefault="00CA6A9E">
            <w:pPr>
              <w:spacing w:after="0" w:line="259" w:lineRule="auto"/>
              <w:ind w:left="2" w:firstLine="0"/>
            </w:pPr>
            <w:r>
              <w:rPr>
                <w:b/>
              </w:rPr>
              <w:t xml:space="preserve">EUI </w:t>
            </w:r>
          </w:p>
          <w:p w:rsidR="00E50ACD" w:rsidRDefault="00CA6A9E">
            <w:pPr>
              <w:spacing w:after="0" w:line="259" w:lineRule="auto"/>
              <w:ind w:left="2" w:firstLine="0"/>
            </w:pPr>
            <w:r>
              <w:rPr>
                <w:b/>
              </w:rPr>
              <w:t>(</w:t>
            </w:r>
            <w:proofErr w:type="spellStart"/>
            <w:r>
              <w:rPr>
                <w:b/>
              </w:rPr>
              <w:t>kBtu</w:t>
            </w:r>
            <w:proofErr w:type="spellEnd"/>
            <w:r>
              <w:rPr>
                <w:b/>
              </w:rPr>
              <w:t>/ft</w:t>
            </w:r>
            <w:r>
              <w:rPr>
                <w:b/>
                <w:vertAlign w:val="superscript"/>
              </w:rPr>
              <w:t>2</w:t>
            </w:r>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intensity as calculated by Portfolio Manager at the source of energy generation in </w:t>
            </w:r>
            <w:proofErr w:type="spellStart"/>
            <w:r>
              <w:t>kBtus</w:t>
            </w:r>
            <w:proofErr w:type="spellEnd"/>
            <w:r>
              <w:t xml:space="preserve"> per gross square foot (</w:t>
            </w:r>
            <w:proofErr w:type="spellStart"/>
            <w:r>
              <w:t>kBtu</w:t>
            </w:r>
            <w:proofErr w:type="spellEnd"/>
            <w:r>
              <w:t>/ft</w:t>
            </w:r>
            <w:r>
              <w:rPr>
                <w:vertAlign w:val="superscript"/>
              </w:rPr>
              <w:t>2</w:t>
            </w:r>
            <w:r>
              <w:t xml:space="preserve">) for the reporting year, normalized for weather. </w:t>
            </w:r>
          </w:p>
        </w:tc>
      </w:tr>
      <w:tr w:rsidR="00E50ACD">
        <w:trPr>
          <w:trHeight w:val="581"/>
        </w:trPr>
        <w:tc>
          <w:tcPr>
            <w:tcW w:w="2986" w:type="dxa"/>
            <w:tcBorders>
              <w:top w:val="nil"/>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Fuel Oil #1 Use (</w:t>
            </w:r>
            <w:proofErr w:type="spellStart"/>
            <w:r>
              <w:rPr>
                <w:b/>
              </w:rPr>
              <w:t>kBtu</w:t>
            </w:r>
            <w:proofErr w:type="spellEnd"/>
            <w:r>
              <w:rPr>
                <w:b/>
              </w:rPr>
              <w:t xml:space="preserve">) </w:t>
            </w:r>
          </w:p>
        </w:tc>
        <w:tc>
          <w:tcPr>
            <w:tcW w:w="8534" w:type="dxa"/>
            <w:tcBorders>
              <w:top w:val="nil"/>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by Type is a summary of the annual consumption of an individual type of energy. Annual totals are available for Fuel Oil # 1.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Fuel Oil #2 Use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by Type is a summary of the annual consumption of an individual type of energy. Annual totals are available for Fuel Oil # 2.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Fuel Oil #4 Use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by Type is a summary of the annual consumption of an individual type of energy. Annual totals are available for Fuel Oil # 4. </w:t>
            </w:r>
          </w:p>
        </w:tc>
      </w:tr>
      <w:tr w:rsidR="00E50ACD">
        <w:trPr>
          <w:trHeight w:val="58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Fuel Oil #5 &amp; 6 Use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Energy Use by Type is a summary of the annual consumption of an individual type of energy</w:t>
            </w:r>
            <w:r>
              <w:t xml:space="preserve">. Annual totals are available for Fuel Oil # 5&amp;6.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Diesel #2 Use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jc w:val="both"/>
            </w:pPr>
            <w:r>
              <w:t xml:space="preserve">Energy Use by Type is a summary of the annual consumption of an individual type of energy. Annual totals are available for Diesel #2.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District Steam Use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by Type is a summary of the annual consumption of an individual type of energy. Annual totals are available for District Steam.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District Hot Water Use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by Type is a summary of the annual consumption of an individual type of </w:t>
            </w:r>
            <w:r>
              <w:t xml:space="preserve">energy. Annual totals are available for District Hot Water.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District Chilled Water Use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jc w:val="both"/>
            </w:pPr>
            <w:r>
              <w:t xml:space="preserve">Energy Use by Type is a summary of the annual consumption of an individual type of energy. Annual totals are available for District Chilled Water.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Natural Gas Use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by Type is a summary of the annual consumption of an individual type of energy. Annual totals are available for Natural Gas.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Weather Normalized Site </w:t>
            </w:r>
          </w:p>
          <w:p w:rsidR="00E50ACD" w:rsidRDefault="00CA6A9E">
            <w:pPr>
              <w:spacing w:after="0" w:line="259" w:lineRule="auto"/>
              <w:ind w:left="2" w:firstLine="0"/>
            </w:pPr>
            <w:r>
              <w:rPr>
                <w:b/>
              </w:rPr>
              <w:t>Natural Gas Use (</w:t>
            </w:r>
            <w:proofErr w:type="spellStart"/>
            <w:r>
              <w:rPr>
                <w:b/>
              </w:rPr>
              <w:t>therms</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The energy </w:t>
            </w:r>
            <w:proofErr w:type="gramStart"/>
            <w:r>
              <w:t>use</w:t>
            </w:r>
            <w:proofErr w:type="gramEnd"/>
            <w:r>
              <w:t xml:space="preserve"> your property would have con</w:t>
            </w:r>
            <w:r>
              <w:t xml:space="preserve">sumed during 30-year average weather conditions </w:t>
            </w:r>
          </w:p>
        </w:tc>
      </w:tr>
      <w:tr w:rsidR="00E50ACD">
        <w:trPr>
          <w:trHeight w:val="58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Electricity Use - Grid Purchase (</w:t>
            </w:r>
            <w:proofErr w:type="spellStart"/>
            <w:r>
              <w:rPr>
                <w:b/>
              </w:rPr>
              <w:t>kBtu</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Energy Use by Type is a summary of the annual consumption of an individual type of energy. Annual totals are available for Electricity Use - Grid Purchase.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jc w:val="both"/>
            </w:pPr>
            <w:r>
              <w:rPr>
                <w:b/>
              </w:rPr>
              <w:t xml:space="preserve">Weather Normalized Site Electricity (kWh)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The energy </w:t>
            </w:r>
            <w:proofErr w:type="gramStart"/>
            <w:r>
              <w:t>use</w:t>
            </w:r>
            <w:proofErr w:type="gramEnd"/>
            <w:r>
              <w:t xml:space="preserve"> your property would have consumed during 30-year average weather conditions </w:t>
            </w:r>
          </w:p>
        </w:tc>
      </w:tr>
      <w:tr w:rsidR="00E50ACD">
        <w:trPr>
          <w:trHeight w:val="612"/>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right="27" w:firstLine="0"/>
            </w:pPr>
            <w:r>
              <w:rPr>
                <w:b/>
              </w:rPr>
              <w:lastRenderedPageBreak/>
              <w:t>Total GHG Emissions (MtCO</w:t>
            </w:r>
            <w:r>
              <w:rPr>
                <w:b/>
                <w:vertAlign w:val="subscript"/>
              </w:rPr>
              <w:t>2</w:t>
            </w:r>
            <w:r>
              <w:rPr>
                <w:b/>
              </w:rPr>
              <w:t xml:space="preserve">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The total direct and indirect greenhouse gases emitted by the property, reported in metric tons of carbon dioxide equivalent (MtCO</w:t>
            </w:r>
            <w:r>
              <w:rPr>
                <w:vertAlign w:val="subscript"/>
              </w:rPr>
              <w:t>2</w:t>
            </w:r>
            <w:r>
              <w:t xml:space="preserve">e) for the reporting year. </w:t>
            </w:r>
          </w:p>
        </w:tc>
      </w:tr>
      <w:tr w:rsidR="00E50ACD">
        <w:trPr>
          <w:trHeight w:val="610"/>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Direct GHG Emissions (MtCO</w:t>
            </w:r>
            <w:r>
              <w:rPr>
                <w:b/>
                <w:vertAlign w:val="subscript"/>
              </w:rPr>
              <w:t>2</w:t>
            </w:r>
            <w:r>
              <w:rPr>
                <w:b/>
              </w:rPr>
              <w:t xml:space="preserve">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The total direct greenhouse gases emitted by the property, reported in metric tons of carbon dioxide equivalent (MtCO</w:t>
            </w:r>
            <w:r>
              <w:rPr>
                <w:vertAlign w:val="subscript"/>
              </w:rPr>
              <w:t>2</w:t>
            </w:r>
            <w:r>
              <w:t xml:space="preserve">e) for the reporting year. </w:t>
            </w:r>
          </w:p>
        </w:tc>
      </w:tr>
      <w:tr w:rsidR="00E50ACD">
        <w:trPr>
          <w:trHeight w:val="610"/>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Indirect GHG Emissions (MtCO</w:t>
            </w:r>
            <w:r>
              <w:rPr>
                <w:b/>
                <w:vertAlign w:val="subscript"/>
              </w:rPr>
              <w:t>2</w:t>
            </w:r>
            <w:r>
              <w:rPr>
                <w:b/>
              </w:rPr>
              <w:t xml:space="preserve">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The total indirect greenhouse gases emitted by the property, reported in metric tons of carbon dioxide equivalent (MtCO</w:t>
            </w:r>
            <w:r>
              <w:rPr>
                <w:vertAlign w:val="subscript"/>
              </w:rPr>
              <w:t>2</w:t>
            </w:r>
            <w:r>
              <w:t xml:space="preserve">e) for the reporting year. </w:t>
            </w:r>
          </w:p>
        </w:tc>
      </w:tr>
      <w:tr w:rsidR="00E50ACD">
        <w:trPr>
          <w:trHeight w:val="334"/>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DOF Property Floor Area (ft</w:t>
            </w:r>
            <w:r>
              <w:rPr>
                <w:b/>
                <w:vertAlign w:val="superscript"/>
              </w:rPr>
              <w:t>2</w:t>
            </w:r>
            <w:r>
              <w:rPr>
                <w:b/>
              </w:rPr>
              <w:t xml:space="preserv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Gross square footage of the property, per DOF records.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Property GFA - Self-reported </w:t>
            </w:r>
          </w:p>
          <w:p w:rsidR="00E50ACD" w:rsidRDefault="00CA6A9E">
            <w:pPr>
              <w:spacing w:after="0" w:line="259" w:lineRule="auto"/>
              <w:ind w:left="2" w:firstLine="0"/>
            </w:pPr>
            <w:r>
              <w:rPr>
                <w:b/>
              </w:rPr>
              <w:t xml:space="preserve">(ft²)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Self-reported total gross square footage (ft</w:t>
            </w:r>
            <w:r>
              <w:rPr>
                <w:vertAlign w:val="superscript"/>
              </w:rPr>
              <w:t>2</w:t>
            </w:r>
            <w:r>
              <w:t xml:space="preserve">) of the property. </w:t>
            </w:r>
          </w:p>
        </w:tc>
      </w:tr>
      <w:tr w:rsidR="00E50ACD">
        <w:trPr>
          <w:trHeight w:val="547"/>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right="32" w:firstLine="0"/>
              <w:jc w:val="both"/>
            </w:pPr>
            <w:r>
              <w:rPr>
                <w:b/>
              </w:rPr>
              <w:t>Water Use (All Water Sources) (</w:t>
            </w:r>
            <w:proofErr w:type="spellStart"/>
            <w:r>
              <w:rPr>
                <w:b/>
              </w:rPr>
              <w:t>kgal</w:t>
            </w:r>
            <w:proofErr w:type="spellEnd"/>
            <w:r>
              <w:rPr>
                <w:b/>
              </w:rPr>
              <w:t xml:space="preserve">) </w:t>
            </w:r>
          </w:p>
        </w:tc>
        <w:tc>
          <w:tcPr>
            <w:tcW w:w="8534" w:type="dxa"/>
            <w:tcBorders>
              <w:top w:val="single" w:sz="4" w:space="0" w:color="000000"/>
              <w:left w:val="single" w:sz="4" w:space="0" w:color="000000"/>
              <w:bottom w:val="single" w:sz="4" w:space="0" w:color="000000"/>
              <w:right w:val="single" w:sz="8" w:space="0" w:color="000000"/>
            </w:tcBorders>
            <w:vAlign w:val="bottom"/>
          </w:tcPr>
          <w:p w:rsidR="00E50ACD" w:rsidRDefault="00CA6A9E">
            <w:pPr>
              <w:spacing w:after="0" w:line="259" w:lineRule="auto"/>
              <w:ind w:left="0" w:firstLine="0"/>
            </w:pPr>
            <w:r>
              <w:t xml:space="preserve">Sum of all water meters. </w:t>
            </w:r>
          </w:p>
        </w:tc>
      </w:tr>
      <w:tr w:rsidR="00E50ACD">
        <w:trPr>
          <w:trHeight w:val="816"/>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Municipally Supplied Potable </w:t>
            </w:r>
          </w:p>
          <w:p w:rsidR="00E50ACD" w:rsidRDefault="00CA6A9E">
            <w:pPr>
              <w:spacing w:after="0" w:line="259" w:lineRule="auto"/>
              <w:ind w:left="2" w:firstLine="0"/>
            </w:pPr>
            <w:r>
              <w:rPr>
                <w:b/>
              </w:rPr>
              <w:t xml:space="preserve">Water - Indoor Intensity (gal/ft²)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Total indoor water use at the property in gallons per square foot (gal/ft</w:t>
            </w:r>
            <w:r>
              <w:rPr>
                <w:vertAlign w:val="superscript"/>
              </w:rPr>
              <w:t>2</w:t>
            </w:r>
            <w:r>
              <w:t xml:space="preserve">) for the reporting year. </w:t>
            </w:r>
          </w:p>
        </w:tc>
      </w:tr>
      <w:tr w:rsidR="00E50ACD">
        <w:trPr>
          <w:trHeight w:val="816"/>
        </w:trPr>
        <w:tc>
          <w:tcPr>
            <w:tcW w:w="2986" w:type="dxa"/>
            <w:tcBorders>
              <w:top w:val="single" w:sz="4" w:space="0" w:color="000000"/>
              <w:left w:val="single" w:sz="8" w:space="0" w:color="000000"/>
              <w:bottom w:val="single" w:sz="4" w:space="0" w:color="000000"/>
              <w:right w:val="single" w:sz="4" w:space="0" w:color="000000"/>
            </w:tcBorders>
            <w:vAlign w:val="center"/>
          </w:tcPr>
          <w:p w:rsidR="00E50ACD" w:rsidRDefault="00CA6A9E">
            <w:pPr>
              <w:spacing w:after="0" w:line="259" w:lineRule="auto"/>
              <w:ind w:left="2" w:firstLine="0"/>
            </w:pPr>
            <w:r>
              <w:rPr>
                <w:b/>
              </w:rPr>
              <w:t xml:space="preserve">Automatic Water </w:t>
            </w:r>
          </w:p>
          <w:p w:rsidR="00E50ACD" w:rsidRDefault="00CA6A9E">
            <w:pPr>
              <w:spacing w:after="0" w:line="259" w:lineRule="auto"/>
              <w:ind w:left="2" w:firstLine="0"/>
            </w:pPr>
            <w:r>
              <w:rPr>
                <w:b/>
              </w:rPr>
              <w:t xml:space="preserve">Benchmarking Eligible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Indicates if the property was eligible to use water benchmarking data uploaded by the Department of Environmental Protection via the Automatic Benchmarking Services ('ABS') feature in Portfolio Manager. </w:t>
            </w:r>
          </w:p>
        </w:tc>
      </w:tr>
      <w:tr w:rsidR="00E50ACD">
        <w:trPr>
          <w:trHeight w:val="298"/>
        </w:trPr>
        <w:tc>
          <w:tcPr>
            <w:tcW w:w="2986" w:type="dxa"/>
            <w:tcBorders>
              <w:top w:val="single" w:sz="4" w:space="0" w:color="000000"/>
              <w:left w:val="single" w:sz="8" w:space="0" w:color="000000"/>
              <w:bottom w:val="single" w:sz="4" w:space="0" w:color="000000"/>
              <w:right w:val="single" w:sz="4" w:space="0" w:color="000000"/>
            </w:tcBorders>
          </w:tcPr>
          <w:p w:rsidR="00E50ACD" w:rsidRDefault="00CA6A9E">
            <w:pPr>
              <w:spacing w:after="0" w:line="259" w:lineRule="auto"/>
              <w:ind w:left="2" w:firstLine="0"/>
            </w:pPr>
            <w:r>
              <w:rPr>
                <w:b/>
              </w:rPr>
              <w:t xml:space="preserve">Release Date </w:t>
            </w:r>
          </w:p>
        </w:tc>
        <w:tc>
          <w:tcPr>
            <w:tcW w:w="8534" w:type="dxa"/>
            <w:tcBorders>
              <w:top w:val="single" w:sz="4" w:space="0" w:color="000000"/>
              <w:left w:val="single" w:sz="4" w:space="0" w:color="000000"/>
              <w:bottom w:val="single" w:sz="4" w:space="0" w:color="000000"/>
              <w:right w:val="single" w:sz="8" w:space="0" w:color="000000"/>
            </w:tcBorders>
          </w:tcPr>
          <w:p w:rsidR="00E50ACD" w:rsidRDefault="00CA6A9E">
            <w:pPr>
              <w:spacing w:after="0" w:line="259" w:lineRule="auto"/>
              <w:ind w:left="0" w:firstLine="0"/>
            </w:pPr>
            <w:r>
              <w:t xml:space="preserve">Date the submission was </w:t>
            </w:r>
            <w:proofErr w:type="spellStart"/>
            <w:r>
              <w:t>relesaed</w:t>
            </w:r>
            <w:proofErr w:type="spellEnd"/>
            <w:r>
              <w:t xml:space="preserve"> through the City's Portfolio Manage template. </w:t>
            </w:r>
          </w:p>
        </w:tc>
      </w:tr>
      <w:tr w:rsidR="00E50ACD">
        <w:trPr>
          <w:trHeight w:val="821"/>
        </w:trPr>
        <w:tc>
          <w:tcPr>
            <w:tcW w:w="2986" w:type="dxa"/>
            <w:tcBorders>
              <w:top w:val="single" w:sz="4" w:space="0" w:color="000000"/>
              <w:left w:val="single" w:sz="8" w:space="0" w:color="000000"/>
              <w:bottom w:val="single" w:sz="8" w:space="0" w:color="000000"/>
              <w:right w:val="single" w:sz="4" w:space="0" w:color="000000"/>
            </w:tcBorders>
          </w:tcPr>
          <w:p w:rsidR="00E50ACD" w:rsidRDefault="00CA6A9E">
            <w:pPr>
              <w:spacing w:after="0" w:line="259" w:lineRule="auto"/>
              <w:ind w:left="2" w:firstLine="0"/>
            </w:pPr>
            <w:r>
              <w:rPr>
                <w:b/>
              </w:rPr>
              <w:t xml:space="preserve">Reported Water Method </w:t>
            </w:r>
          </w:p>
        </w:tc>
        <w:tc>
          <w:tcPr>
            <w:tcW w:w="8534" w:type="dxa"/>
            <w:tcBorders>
              <w:top w:val="single" w:sz="4" w:space="0" w:color="000000"/>
              <w:left w:val="single" w:sz="4" w:space="0" w:color="000000"/>
              <w:bottom w:val="single" w:sz="8" w:space="0" w:color="000000"/>
              <w:right w:val="single" w:sz="8" w:space="0" w:color="000000"/>
            </w:tcBorders>
          </w:tcPr>
          <w:p w:rsidR="00E50ACD" w:rsidRDefault="00CA6A9E">
            <w:pPr>
              <w:spacing w:after="0" w:line="259" w:lineRule="auto"/>
              <w:ind w:left="0" w:firstLine="0"/>
            </w:pPr>
            <w:r>
              <w:t xml:space="preserve">Indicates whether the water usage was uploaded by the Department of Environmental Protection via the Automatic Benchmarking Services ('ABS') feature in Portfolio Manager, or self-reported by manual entry ('Manual'). </w:t>
            </w:r>
          </w:p>
        </w:tc>
      </w:tr>
    </w:tbl>
    <w:p w:rsidR="00E50ACD" w:rsidRDefault="00CA6A9E">
      <w:pPr>
        <w:spacing w:after="0" w:line="259" w:lineRule="auto"/>
        <w:ind w:left="0" w:firstLine="0"/>
        <w:jc w:val="both"/>
      </w:pPr>
      <w:r>
        <w:t xml:space="preserve"> </w:t>
      </w:r>
    </w:p>
    <w:sectPr w:rsidR="00E50ACD">
      <w:headerReference w:type="even" r:id="rId7"/>
      <w:headerReference w:type="default" r:id="rId8"/>
      <w:footerReference w:type="even" r:id="rId9"/>
      <w:footerReference w:type="default" r:id="rId10"/>
      <w:headerReference w:type="first" r:id="rId11"/>
      <w:footerReference w:type="first" r:id="rId12"/>
      <w:pgSz w:w="12240" w:h="15840"/>
      <w:pgMar w:top="1080" w:right="1199" w:bottom="1457" w:left="288" w:header="487" w:footer="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A6A9E" w:rsidRDefault="00CA6A9E">
      <w:pPr>
        <w:spacing w:after="0" w:line="240" w:lineRule="auto"/>
      </w:pPr>
      <w:r>
        <w:separator/>
      </w:r>
    </w:p>
  </w:endnote>
  <w:endnote w:type="continuationSeparator" w:id="0">
    <w:p w:rsidR="00CA6A9E" w:rsidRDefault="00CA6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0ACD" w:rsidRDefault="00CA6A9E">
    <w:pPr>
      <w:spacing w:after="0" w:line="259" w:lineRule="auto"/>
      <w:ind w:left="-288" w:right="11041" w:firstLine="0"/>
    </w:pPr>
    <w:r>
      <w:rPr>
        <w:noProof/>
      </w:rPr>
      <mc:AlternateContent>
        <mc:Choice Requires="wpg">
          <w:drawing>
            <wp:anchor distT="0" distB="0" distL="114300" distR="114300" simplePos="0" relativeHeight="251658240" behindDoc="0" locked="0" layoutInCell="1" allowOverlap="1">
              <wp:simplePos x="0" y="0"/>
              <wp:positionH relativeFrom="page">
                <wp:posOffset>164592</wp:posOffset>
              </wp:positionH>
              <wp:positionV relativeFrom="page">
                <wp:posOffset>9160764</wp:posOffset>
              </wp:positionV>
              <wp:extent cx="6953622" cy="778318"/>
              <wp:effectExtent l="0" t="0" r="0" b="0"/>
              <wp:wrapSquare wrapText="bothSides"/>
              <wp:docPr id="9928" name="Group 9928"/>
              <wp:cNvGraphicFramePr/>
              <a:graphic xmlns:a="http://schemas.openxmlformats.org/drawingml/2006/main">
                <a:graphicData uri="http://schemas.microsoft.com/office/word/2010/wordprocessingGroup">
                  <wpg:wgp>
                    <wpg:cNvGrpSpPr/>
                    <wpg:grpSpPr>
                      <a:xfrm>
                        <a:off x="0" y="0"/>
                        <a:ext cx="6953622" cy="778318"/>
                        <a:chOff x="0" y="0"/>
                        <a:chExt cx="6953622" cy="778318"/>
                      </a:xfrm>
                    </wpg:grpSpPr>
                    <wps:wsp>
                      <wps:cNvPr id="9931" name="Rectangle 9931"/>
                      <wps:cNvSpPr/>
                      <wps:spPr>
                        <a:xfrm>
                          <a:off x="6297168" y="45720"/>
                          <a:ext cx="94544" cy="189937"/>
                        </a:xfrm>
                        <a:prstGeom prst="rect">
                          <a:avLst/>
                        </a:prstGeom>
                        <a:ln>
                          <a:noFill/>
                        </a:ln>
                      </wps:spPr>
                      <wps:txbx>
                        <w:txbxContent>
                          <w:p w:rsidR="00E50ACD" w:rsidRDefault="00CA6A9E">
                            <w:pPr>
                              <w:spacing w:after="160" w:line="259" w:lineRule="auto"/>
                              <w:ind w:left="0" w:firstLine="0"/>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9932" name="Rectangle 9932"/>
                      <wps:cNvSpPr/>
                      <wps:spPr>
                        <a:xfrm>
                          <a:off x="6368814" y="45720"/>
                          <a:ext cx="169694" cy="189937"/>
                        </a:xfrm>
                        <a:prstGeom prst="rect">
                          <a:avLst/>
                        </a:prstGeom>
                        <a:ln>
                          <a:noFill/>
                        </a:ln>
                      </wps:spPr>
                      <wps:txbx>
                        <w:txbxContent>
                          <w:p w:rsidR="00E50ACD" w:rsidRDefault="00CA6A9E">
                            <w:pPr>
                              <w:spacing w:after="160" w:line="259" w:lineRule="auto"/>
                              <w:ind w:left="0" w:firstLine="0"/>
                            </w:pPr>
                            <w:r>
                              <w:t xml:space="preserve"> | </w:t>
                            </w:r>
                          </w:p>
                        </w:txbxContent>
                      </wps:txbx>
                      <wps:bodyPr horzOverflow="overflow" vert="horz" lIns="0" tIns="0" rIns="0" bIns="0" rtlCol="0">
                        <a:noAutofit/>
                      </wps:bodyPr>
                    </wps:wsp>
                    <wps:wsp>
                      <wps:cNvPr id="9933" name="Rectangle 9933"/>
                      <wps:cNvSpPr/>
                      <wps:spPr>
                        <a:xfrm>
                          <a:off x="6495282" y="45720"/>
                          <a:ext cx="518405" cy="189937"/>
                        </a:xfrm>
                        <a:prstGeom prst="rect">
                          <a:avLst/>
                        </a:prstGeom>
                        <a:ln>
                          <a:noFill/>
                        </a:ln>
                      </wps:spPr>
                      <wps:txbx>
                        <w:txbxContent>
                          <w:p w:rsidR="00E50ACD" w:rsidRDefault="00CA6A9E">
                            <w:pPr>
                              <w:spacing w:after="160" w:line="259" w:lineRule="auto"/>
                              <w:ind w:left="0" w:firstLine="0"/>
                            </w:pPr>
                            <w:r>
                              <w:rPr>
                                <w:color w:val="7F7F7F"/>
                              </w:rPr>
                              <w:t>Page</w:t>
                            </w:r>
                          </w:p>
                        </w:txbxContent>
                      </wps:txbx>
                      <wps:bodyPr horzOverflow="overflow" vert="horz" lIns="0" tIns="0" rIns="0" bIns="0" rtlCol="0">
                        <a:noAutofit/>
                      </wps:bodyPr>
                    </wps:wsp>
                    <wps:wsp>
                      <wps:cNvPr id="9934" name="Rectangle 9934"/>
                      <wps:cNvSpPr/>
                      <wps:spPr>
                        <a:xfrm>
                          <a:off x="6921934" y="45720"/>
                          <a:ext cx="42144" cy="189937"/>
                        </a:xfrm>
                        <a:prstGeom prst="rect">
                          <a:avLst/>
                        </a:prstGeom>
                        <a:ln>
                          <a:noFill/>
                        </a:ln>
                      </wps:spPr>
                      <wps:txbx>
                        <w:txbxContent>
                          <w:p w:rsidR="00E50ACD" w:rsidRDefault="00CA6A9E">
                            <w:pPr>
                              <w:spacing w:after="160" w:line="259" w:lineRule="auto"/>
                              <w:ind w:left="0" w:firstLine="0"/>
                            </w:pPr>
                            <w:r>
                              <w:t xml:space="preserve"> </w:t>
                            </w:r>
                          </w:p>
                        </w:txbxContent>
                      </wps:txbx>
                      <wps:bodyPr horzOverflow="overflow" vert="horz" lIns="0" tIns="0" rIns="0" bIns="0" rtlCol="0">
                        <a:noAutofit/>
                      </wps:bodyPr>
                    </wps:wsp>
                    <wps:wsp>
                      <wps:cNvPr id="10277" name="Shape 10277"/>
                      <wps:cNvSpPr/>
                      <wps:spPr>
                        <a:xfrm>
                          <a:off x="0"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9935" name="Rectangle 9935"/>
                      <wps:cNvSpPr/>
                      <wps:spPr>
                        <a:xfrm>
                          <a:off x="1065276" y="635508"/>
                          <a:ext cx="42144" cy="189937"/>
                        </a:xfrm>
                        <a:prstGeom prst="rect">
                          <a:avLst/>
                        </a:prstGeom>
                        <a:ln>
                          <a:noFill/>
                        </a:ln>
                      </wps:spPr>
                      <wps:txbx>
                        <w:txbxContent>
                          <w:p w:rsidR="00E50ACD" w:rsidRDefault="00CA6A9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30" name="Picture 9930"/>
                        <pic:cNvPicPr/>
                      </pic:nvPicPr>
                      <pic:blipFill>
                        <a:blip r:embed="rId1"/>
                        <a:stretch>
                          <a:fillRect/>
                        </a:stretch>
                      </pic:blipFill>
                      <pic:spPr>
                        <a:xfrm>
                          <a:off x="18287" y="189610"/>
                          <a:ext cx="1044575" cy="548402"/>
                        </a:xfrm>
                        <a:prstGeom prst="rect">
                          <a:avLst/>
                        </a:prstGeom>
                      </pic:spPr>
                    </pic:pic>
                  </wpg:wgp>
                </a:graphicData>
              </a:graphic>
            </wp:anchor>
          </w:drawing>
        </mc:Choice>
        <mc:Fallback xmlns:a="http://schemas.openxmlformats.org/drawingml/2006/main">
          <w:pict>
            <v:group id="Group 9928" style="width:547.529pt;height:61.2849pt;position:absolute;mso-position-horizontal-relative:page;mso-position-horizontal:absolute;margin-left:12.96pt;mso-position-vertical-relative:page;margin-top:721.32pt;" coordsize="69536,7783">
              <v:rect id="Rectangle 9931" style="position:absolute;width:945;height:1899;left:62971;top:457;" filled="f" stroked="f">
                <v:textbox inset="0,0,0,0">
                  <w:txbxContent>
                    <w:p>
                      <w:pPr>
                        <w:spacing w:before="0" w:after="160" w:line="259" w:lineRule="auto"/>
                        <w:ind w:left="0" w:firstLine="0"/>
                      </w:pPr>
                      <w:fldSimple w:instr=" PAGE   \* MERGEFORMAT ">
                        <w:r>
                          <w:rPr/>
                          <w:t xml:space="preserve">1</w:t>
                        </w:r>
                      </w:fldSimple>
                    </w:p>
                  </w:txbxContent>
                </v:textbox>
              </v:rect>
              <v:rect id="Rectangle 9932" style="position:absolute;width:1696;height:1899;left:63688;top:457;" filled="f" stroked="f">
                <v:textbox inset="0,0,0,0">
                  <w:txbxContent>
                    <w:p>
                      <w:pPr>
                        <w:spacing w:before="0" w:after="160" w:line="259" w:lineRule="auto"/>
                        <w:ind w:left="0" w:firstLine="0"/>
                      </w:pPr>
                      <w:r>
                        <w:rPr/>
                        <w:t xml:space="preserve"> | </w:t>
                      </w:r>
                    </w:p>
                  </w:txbxContent>
                </v:textbox>
              </v:rect>
              <v:rect id="Rectangle 9933" style="position:absolute;width:5184;height:1899;left:64952;top:457;" filled="f" stroked="f">
                <v:textbox inset="0,0,0,0">
                  <w:txbxContent>
                    <w:p>
                      <w:pPr>
                        <w:spacing w:before="0" w:after="160" w:line="259" w:lineRule="auto"/>
                        <w:ind w:left="0" w:firstLine="0"/>
                      </w:pPr>
                      <w:r>
                        <w:rPr>
                          <w:color w:val="7f7f7f"/>
                        </w:rPr>
                        <w:t xml:space="preserve">Page</w:t>
                      </w:r>
                    </w:p>
                  </w:txbxContent>
                </v:textbox>
              </v:rect>
              <v:rect id="Rectangle 9934" style="position:absolute;width:421;height:1899;left:69219;top:457;" filled="f" stroked="f">
                <v:textbox inset="0,0,0,0">
                  <w:txbxContent>
                    <w:p>
                      <w:pPr>
                        <w:spacing w:before="0" w:after="160" w:line="259" w:lineRule="auto"/>
                        <w:ind w:left="0" w:firstLine="0"/>
                      </w:pPr>
                      <w:r>
                        <w:rPr/>
                        <w:t xml:space="preserve"> </w:t>
                      </w:r>
                    </w:p>
                  </w:txbxContent>
                </v:textbox>
              </v:rect>
              <v:shape id="Shape 10278" style="position:absolute;width:69402;height:91;left:0;top:0;" coordsize="6940296,9144" path="m0,0l6940296,0l6940296,9144l0,9144l0,0">
                <v:stroke weight="0pt" endcap="flat" joinstyle="miter" miterlimit="10" on="false" color="#000000" opacity="0"/>
                <v:fill on="true" color="#dadadb"/>
              </v:shape>
              <v:rect id="Rectangle 9935" style="position:absolute;width:421;height:1899;left:10652;top:6355;" filled="f" stroked="f">
                <v:textbox inset="0,0,0,0">
                  <w:txbxContent>
                    <w:p>
                      <w:pPr>
                        <w:spacing w:before="0" w:after="160" w:line="259" w:lineRule="auto"/>
                        <w:ind w:left="0" w:firstLine="0"/>
                      </w:pPr>
                      <w:r>
                        <w:rPr/>
                        <w:t xml:space="preserve"> </w:t>
                      </w:r>
                    </w:p>
                  </w:txbxContent>
                </v:textbox>
              </v:rect>
              <v:shape id="Picture 9930" style="position:absolute;width:10445;height:5484;left:182;top:1896;" filled="f">
                <v:imagedata r:id="rId7"/>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0ACD" w:rsidRDefault="00E50ACD">
    <w:pPr>
      <w:spacing w:after="0" w:line="259" w:lineRule="auto"/>
      <w:ind w:left="-288" w:right="11041"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0ACD" w:rsidRDefault="00CA6A9E">
    <w:pPr>
      <w:spacing w:after="0" w:line="259" w:lineRule="auto"/>
      <w:ind w:left="-288" w:right="11041" w:firstLine="0"/>
    </w:pPr>
    <w:r>
      <w:rPr>
        <w:noProof/>
      </w:rPr>
      <mc:AlternateContent>
        <mc:Choice Requires="wpg">
          <w:drawing>
            <wp:anchor distT="0" distB="0" distL="114300" distR="114300" simplePos="0" relativeHeight="251660288" behindDoc="0" locked="0" layoutInCell="1" allowOverlap="1">
              <wp:simplePos x="0" y="0"/>
              <wp:positionH relativeFrom="page">
                <wp:posOffset>164592</wp:posOffset>
              </wp:positionH>
              <wp:positionV relativeFrom="page">
                <wp:posOffset>9160764</wp:posOffset>
              </wp:positionV>
              <wp:extent cx="6953622" cy="778318"/>
              <wp:effectExtent l="0" t="0" r="0" b="0"/>
              <wp:wrapSquare wrapText="bothSides"/>
              <wp:docPr id="9880" name="Group 9880"/>
              <wp:cNvGraphicFramePr/>
              <a:graphic xmlns:a="http://schemas.openxmlformats.org/drawingml/2006/main">
                <a:graphicData uri="http://schemas.microsoft.com/office/word/2010/wordprocessingGroup">
                  <wpg:wgp>
                    <wpg:cNvGrpSpPr/>
                    <wpg:grpSpPr>
                      <a:xfrm>
                        <a:off x="0" y="0"/>
                        <a:ext cx="6953622" cy="778318"/>
                        <a:chOff x="0" y="0"/>
                        <a:chExt cx="6953622" cy="778318"/>
                      </a:xfrm>
                    </wpg:grpSpPr>
                    <wps:wsp>
                      <wps:cNvPr id="9883" name="Rectangle 9883"/>
                      <wps:cNvSpPr/>
                      <wps:spPr>
                        <a:xfrm>
                          <a:off x="6297168" y="45720"/>
                          <a:ext cx="94544" cy="189937"/>
                        </a:xfrm>
                        <a:prstGeom prst="rect">
                          <a:avLst/>
                        </a:prstGeom>
                        <a:ln>
                          <a:noFill/>
                        </a:ln>
                      </wps:spPr>
                      <wps:txbx>
                        <w:txbxContent>
                          <w:p w:rsidR="00E50ACD" w:rsidRDefault="00CA6A9E">
                            <w:pPr>
                              <w:spacing w:after="160" w:line="259" w:lineRule="auto"/>
                              <w:ind w:left="0" w:firstLine="0"/>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9884" name="Rectangle 9884"/>
                      <wps:cNvSpPr/>
                      <wps:spPr>
                        <a:xfrm>
                          <a:off x="6368814" y="45720"/>
                          <a:ext cx="169694" cy="189937"/>
                        </a:xfrm>
                        <a:prstGeom prst="rect">
                          <a:avLst/>
                        </a:prstGeom>
                        <a:ln>
                          <a:noFill/>
                        </a:ln>
                      </wps:spPr>
                      <wps:txbx>
                        <w:txbxContent>
                          <w:p w:rsidR="00E50ACD" w:rsidRDefault="00CA6A9E">
                            <w:pPr>
                              <w:spacing w:after="160" w:line="259" w:lineRule="auto"/>
                              <w:ind w:left="0" w:firstLine="0"/>
                            </w:pPr>
                            <w:r>
                              <w:t xml:space="preserve"> | </w:t>
                            </w:r>
                          </w:p>
                        </w:txbxContent>
                      </wps:txbx>
                      <wps:bodyPr horzOverflow="overflow" vert="horz" lIns="0" tIns="0" rIns="0" bIns="0" rtlCol="0">
                        <a:noAutofit/>
                      </wps:bodyPr>
                    </wps:wsp>
                    <wps:wsp>
                      <wps:cNvPr id="9885" name="Rectangle 9885"/>
                      <wps:cNvSpPr/>
                      <wps:spPr>
                        <a:xfrm>
                          <a:off x="6495282" y="45720"/>
                          <a:ext cx="518405" cy="189937"/>
                        </a:xfrm>
                        <a:prstGeom prst="rect">
                          <a:avLst/>
                        </a:prstGeom>
                        <a:ln>
                          <a:noFill/>
                        </a:ln>
                      </wps:spPr>
                      <wps:txbx>
                        <w:txbxContent>
                          <w:p w:rsidR="00E50ACD" w:rsidRDefault="00CA6A9E">
                            <w:pPr>
                              <w:spacing w:after="160" w:line="259" w:lineRule="auto"/>
                              <w:ind w:left="0" w:firstLine="0"/>
                            </w:pPr>
                            <w:r>
                              <w:rPr>
                                <w:color w:val="7F7F7F"/>
                              </w:rPr>
                              <w:t>Page</w:t>
                            </w:r>
                          </w:p>
                        </w:txbxContent>
                      </wps:txbx>
                      <wps:bodyPr horzOverflow="overflow" vert="horz" lIns="0" tIns="0" rIns="0" bIns="0" rtlCol="0">
                        <a:noAutofit/>
                      </wps:bodyPr>
                    </wps:wsp>
                    <wps:wsp>
                      <wps:cNvPr id="9886" name="Rectangle 9886"/>
                      <wps:cNvSpPr/>
                      <wps:spPr>
                        <a:xfrm>
                          <a:off x="6921934" y="45720"/>
                          <a:ext cx="42144" cy="189937"/>
                        </a:xfrm>
                        <a:prstGeom prst="rect">
                          <a:avLst/>
                        </a:prstGeom>
                        <a:ln>
                          <a:noFill/>
                        </a:ln>
                      </wps:spPr>
                      <wps:txbx>
                        <w:txbxContent>
                          <w:p w:rsidR="00E50ACD" w:rsidRDefault="00CA6A9E">
                            <w:pPr>
                              <w:spacing w:after="160" w:line="259" w:lineRule="auto"/>
                              <w:ind w:left="0" w:firstLine="0"/>
                            </w:pPr>
                            <w:r>
                              <w:t xml:space="preserve"> </w:t>
                            </w:r>
                          </w:p>
                        </w:txbxContent>
                      </wps:txbx>
                      <wps:bodyPr horzOverflow="overflow" vert="horz" lIns="0" tIns="0" rIns="0" bIns="0" rtlCol="0">
                        <a:noAutofit/>
                      </wps:bodyPr>
                    </wps:wsp>
                    <wps:wsp>
                      <wps:cNvPr id="10273" name="Shape 10273"/>
                      <wps:cNvSpPr/>
                      <wps:spPr>
                        <a:xfrm>
                          <a:off x="0"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9887" name="Rectangle 9887"/>
                      <wps:cNvSpPr/>
                      <wps:spPr>
                        <a:xfrm>
                          <a:off x="1065276" y="635508"/>
                          <a:ext cx="42144" cy="189937"/>
                        </a:xfrm>
                        <a:prstGeom prst="rect">
                          <a:avLst/>
                        </a:prstGeom>
                        <a:ln>
                          <a:noFill/>
                        </a:ln>
                      </wps:spPr>
                      <wps:txbx>
                        <w:txbxContent>
                          <w:p w:rsidR="00E50ACD" w:rsidRDefault="00CA6A9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82" name="Picture 9882"/>
                        <pic:cNvPicPr/>
                      </pic:nvPicPr>
                      <pic:blipFill>
                        <a:blip r:embed="rId1"/>
                        <a:stretch>
                          <a:fillRect/>
                        </a:stretch>
                      </pic:blipFill>
                      <pic:spPr>
                        <a:xfrm>
                          <a:off x="18287" y="189610"/>
                          <a:ext cx="1044575" cy="548402"/>
                        </a:xfrm>
                        <a:prstGeom prst="rect">
                          <a:avLst/>
                        </a:prstGeom>
                      </pic:spPr>
                    </pic:pic>
                  </wpg:wgp>
                </a:graphicData>
              </a:graphic>
            </wp:anchor>
          </w:drawing>
        </mc:Choice>
        <mc:Fallback xmlns:a="http://schemas.openxmlformats.org/drawingml/2006/main">
          <w:pict>
            <v:group id="Group 9880" style="width:547.529pt;height:61.2849pt;position:absolute;mso-position-horizontal-relative:page;mso-position-horizontal:absolute;margin-left:12.96pt;mso-position-vertical-relative:page;margin-top:721.32pt;" coordsize="69536,7783">
              <v:rect id="Rectangle 9883" style="position:absolute;width:945;height:1899;left:62971;top:457;" filled="f" stroked="f">
                <v:textbox inset="0,0,0,0">
                  <w:txbxContent>
                    <w:p>
                      <w:pPr>
                        <w:spacing w:before="0" w:after="160" w:line="259" w:lineRule="auto"/>
                        <w:ind w:left="0" w:firstLine="0"/>
                      </w:pPr>
                      <w:fldSimple w:instr=" PAGE   \* MERGEFORMAT ">
                        <w:r>
                          <w:rPr/>
                          <w:t xml:space="preserve">1</w:t>
                        </w:r>
                      </w:fldSimple>
                    </w:p>
                  </w:txbxContent>
                </v:textbox>
              </v:rect>
              <v:rect id="Rectangle 9884" style="position:absolute;width:1696;height:1899;left:63688;top:457;" filled="f" stroked="f">
                <v:textbox inset="0,0,0,0">
                  <w:txbxContent>
                    <w:p>
                      <w:pPr>
                        <w:spacing w:before="0" w:after="160" w:line="259" w:lineRule="auto"/>
                        <w:ind w:left="0" w:firstLine="0"/>
                      </w:pPr>
                      <w:r>
                        <w:rPr/>
                        <w:t xml:space="preserve"> | </w:t>
                      </w:r>
                    </w:p>
                  </w:txbxContent>
                </v:textbox>
              </v:rect>
              <v:rect id="Rectangle 9885" style="position:absolute;width:5184;height:1899;left:64952;top:457;" filled="f" stroked="f">
                <v:textbox inset="0,0,0,0">
                  <w:txbxContent>
                    <w:p>
                      <w:pPr>
                        <w:spacing w:before="0" w:after="160" w:line="259" w:lineRule="auto"/>
                        <w:ind w:left="0" w:firstLine="0"/>
                      </w:pPr>
                      <w:r>
                        <w:rPr>
                          <w:color w:val="7f7f7f"/>
                        </w:rPr>
                        <w:t xml:space="preserve">Page</w:t>
                      </w:r>
                    </w:p>
                  </w:txbxContent>
                </v:textbox>
              </v:rect>
              <v:rect id="Rectangle 9886" style="position:absolute;width:421;height:1899;left:69219;top:457;" filled="f" stroked="f">
                <v:textbox inset="0,0,0,0">
                  <w:txbxContent>
                    <w:p>
                      <w:pPr>
                        <w:spacing w:before="0" w:after="160" w:line="259" w:lineRule="auto"/>
                        <w:ind w:left="0" w:firstLine="0"/>
                      </w:pPr>
                      <w:r>
                        <w:rPr/>
                        <w:t xml:space="preserve"> </w:t>
                      </w:r>
                    </w:p>
                  </w:txbxContent>
                </v:textbox>
              </v:rect>
              <v:shape id="Shape 10274" style="position:absolute;width:69402;height:91;left:0;top:0;" coordsize="6940296,9144" path="m0,0l6940296,0l6940296,9144l0,9144l0,0">
                <v:stroke weight="0pt" endcap="flat" joinstyle="miter" miterlimit="10" on="false" color="#000000" opacity="0"/>
                <v:fill on="true" color="#dadadb"/>
              </v:shape>
              <v:rect id="Rectangle 9887" style="position:absolute;width:421;height:1899;left:10652;top:6355;" filled="f" stroked="f">
                <v:textbox inset="0,0,0,0">
                  <w:txbxContent>
                    <w:p>
                      <w:pPr>
                        <w:spacing w:before="0" w:after="160" w:line="259" w:lineRule="auto"/>
                        <w:ind w:left="0" w:firstLine="0"/>
                      </w:pPr>
                      <w:r>
                        <w:rPr/>
                        <w:t xml:space="preserve"> </w:t>
                      </w:r>
                    </w:p>
                  </w:txbxContent>
                </v:textbox>
              </v:rect>
              <v:shape id="Picture 9882" style="position:absolute;width:10445;height:5484;left:182;top:1896;" filled="f">
                <v:imagedata r:id="rId7"/>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A6A9E" w:rsidRDefault="00CA6A9E">
      <w:pPr>
        <w:spacing w:after="0" w:line="240" w:lineRule="auto"/>
      </w:pPr>
      <w:r>
        <w:separator/>
      </w:r>
    </w:p>
  </w:footnote>
  <w:footnote w:type="continuationSeparator" w:id="0">
    <w:p w:rsidR="00CA6A9E" w:rsidRDefault="00CA6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0ACD" w:rsidRDefault="00CA6A9E">
    <w:pPr>
      <w:tabs>
        <w:tab w:val="center" w:pos="4680"/>
        <w:tab w:val="center" w:pos="7200"/>
        <w:tab w:val="center" w:pos="8497"/>
      </w:tabs>
      <w:spacing w:after="0" w:line="259" w:lineRule="auto"/>
      <w:ind w:left="0" w:firstLine="0"/>
    </w:pPr>
    <w:r>
      <w:t xml:space="preserve">Benchmarking Data Disclosure Definitions </w:t>
    </w:r>
    <w:r>
      <w:tab/>
      <w:t xml:space="preserve"> </w:t>
    </w:r>
    <w:r>
      <w:tab/>
      <w:t xml:space="preserve"> </w:t>
    </w:r>
    <w:r>
      <w:tab/>
      <w:t xml:space="preserve">February 7, 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0ACD" w:rsidRDefault="00E50ACD">
    <w:pPr>
      <w:tabs>
        <w:tab w:val="center" w:pos="4680"/>
        <w:tab w:val="center" w:pos="7200"/>
        <w:tab w:val="center" w:pos="8497"/>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0ACD" w:rsidRDefault="00CA6A9E">
    <w:pPr>
      <w:tabs>
        <w:tab w:val="center" w:pos="4680"/>
        <w:tab w:val="center" w:pos="7200"/>
        <w:tab w:val="center" w:pos="8497"/>
      </w:tabs>
      <w:spacing w:after="0" w:line="259" w:lineRule="auto"/>
      <w:ind w:left="0" w:firstLine="0"/>
    </w:pPr>
    <w:r>
      <w:t xml:space="preserve">Benchmarking Data Disclosure Definitions </w:t>
    </w:r>
    <w:r>
      <w:tab/>
      <w:t xml:space="preserve"> </w:t>
    </w:r>
    <w:r>
      <w:tab/>
      <w:t xml:space="preserve"> </w:t>
    </w:r>
    <w:r>
      <w:tab/>
      <w:t xml:space="preserve">February 7, 2017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CD"/>
    <w:rsid w:val="000A6250"/>
    <w:rsid w:val="00CA6A9E"/>
    <w:rsid w:val="00E5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2D4C09"/>
  <w15:docId w15:val="{5185EB57-AE26-5542-86E6-2D7205F9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left="10" w:hanging="10"/>
    </w:pPr>
    <w:rPr>
      <w:rFonts w:ascii="Calibri" w:eastAsia="Calibri" w:hAnsi="Calibri" w:cs="Calibri"/>
      <w:color w:val="000000"/>
      <w:sz w:val="22"/>
    </w:rPr>
  </w:style>
  <w:style w:type="paragraph" w:styleId="1">
    <w:name w:val="heading 1"/>
    <w:next w:val="a"/>
    <w:link w:val="10"/>
    <w:uiPriority w:val="9"/>
    <w:qFormat/>
    <w:pPr>
      <w:keepNext/>
      <w:keepLines/>
      <w:spacing w:line="259" w:lineRule="auto"/>
      <w:ind w:left="10" w:hanging="10"/>
      <w:outlineLvl w:val="0"/>
    </w:pPr>
    <w:rPr>
      <w:rFonts w:ascii="Calibri" w:eastAsia="Calibri" w:hAnsi="Calibri" w:cs="Calibri"/>
      <w:b/>
      <w:color w:val="000000"/>
      <w:sz w:val="22"/>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22"/>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E3C02-3543-6E43-9601-C0592222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Hope</dc:creator>
  <cp:keywords/>
  <cp:lastModifiedBy>雷 琰</cp:lastModifiedBy>
  <cp:revision>2</cp:revision>
  <dcterms:created xsi:type="dcterms:W3CDTF">2020-03-22T16:58:00Z</dcterms:created>
  <dcterms:modified xsi:type="dcterms:W3CDTF">2020-03-22T16:58:00Z</dcterms:modified>
</cp:coreProperties>
</file>