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sixth-front-phase-1-compliance-changes"/>
    <w:p>
      <w:pPr>
        <w:pStyle w:val="Heading1"/>
      </w:pPr>
      <w:r>
        <w:t xml:space="preserve">Sixth Front — Phase 1 Compliance Changes</w:t>
      </w:r>
    </w:p>
    <w:p>
      <w:pPr>
        <w:pStyle w:val="FirstParagraph"/>
      </w:pPr>
      <w:r>
        <w:t xml:space="preserve">This branch applies the Phase 1 legal/compliance fixes to the marketing site and</w:t>
      </w:r>
      <w:r>
        <w:t xml:space="preserve"> </w:t>
      </w:r>
      <w:r>
        <w:t xml:space="preserve">merchant intake flow. Summary of every change and how to finish deployment.</w:t>
      </w:r>
    </w:p>
    <w:bookmarkStart w:id="20" w:name="no-setup-fee-no-99"/>
    <w:p>
      <w:pPr>
        <w:pStyle w:val="Heading2"/>
      </w:pPr>
      <w:r>
        <w:t xml:space="preserve">1. No setup fee / no</w:t>
      </w:r>
      <w:r>
        <w:t xml:space="preserve"> </w:t>
      </w:r>
      <w:r>
        <w:rPr>
          <w:rStyle w:val="VerbatimChar"/>
        </w:rPr>
        <w:t xml:space="preserve">$99</w:t>
      </w:r>
    </w:p>
    <w:p>
      <w:pPr>
        <w:numPr>
          <w:ilvl w:val="0"/>
          <w:numId w:val="1001"/>
        </w:numPr>
        <w:pStyle w:val="Compact"/>
      </w:pPr>
      <w:r>
        <w:t xml:space="preserve">There is no</w:t>
      </w:r>
      <w:r>
        <w:t xml:space="preserve"> </w:t>
      </w:r>
      <w:r>
        <w:rPr>
          <w:rStyle w:val="VerbatimChar"/>
        </w:rPr>
        <w:t xml:space="preserve">$99</w:t>
      </w:r>
      <w:r>
        <w:t xml:space="preserve"> </w:t>
      </w:r>
      <w:r>
        <w:t xml:space="preserve">or setup fee anywhere in the codebase (verified). The commission</w:t>
      </w:r>
      <w:r>
        <w:t xml:space="preserve"> </w:t>
      </w:r>
      <w:r>
        <w:t xml:space="preserve">model has no setup fee.</w:t>
      </w:r>
    </w:p>
    <w:p>
      <w:pPr>
        <w:numPr>
          <w:ilvl w:val="0"/>
          <w:numId w:val="1001"/>
        </w:numPr>
        <w:pStyle w:val="Compact"/>
      </w:pPr>
      <w:r>
        <w:t xml:space="preserve">The agreement now states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There is no setup fee.</w:t>
      </w:r>
      <w:r>
        <w:rPr>
          <w:bCs/>
          <w:b/>
        </w:rPr>
        <w:t xml:space="preserve">”</w:t>
      </w:r>
      <w:r>
        <w:t xml:space="preserve"> </w:t>
      </w:r>
      <w:r>
        <w:t xml:space="preserve">in both the Merchant Services</w:t>
      </w:r>
      <w:r>
        <w:t xml:space="preserve"> </w:t>
      </w:r>
      <w:r>
        <w:t xml:space="preserve">section and on every line of the Pricing Schedule</w:t>
      </w:r>
      <w:r>
        <w:t xml:space="preserve"> </w:t>
      </w:r>
      <w:r>
        <w:t xml:space="preserve">(</w:t>
      </w:r>
      <w:r>
        <w:rPr>
          <w:rStyle w:val="VerbatimChar"/>
        </w:rPr>
        <w:t xml:space="preserve">artifacts/api-server/src/lib/merchant-intake.ts</w:t>
      </w:r>
      <w:r>
        <w:t xml:space="preserve">).</w:t>
      </w:r>
    </w:p>
    <w:bookmarkEnd w:id="20"/>
    <w:bookmarkStart w:id="22" w:name="X0a2fd3ed0c0d6f30a9546cb836fad025c44056c"/>
    <w:p>
      <w:pPr>
        <w:pStyle w:val="Heading2"/>
      </w:pPr>
      <w:r>
        <w:t xml:space="preserve">2. DRAFT agreement → attorney-approved MSA v2.0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DEFAULT_AGREEMENT</w:t>
      </w:r>
      <w:r>
        <w:t xml:space="preserve"> </w:t>
      </w:r>
      <w:r>
        <w:t xml:space="preserve">updated: version</w:t>
      </w:r>
      <w:r>
        <w:t xml:space="preserve"> </w:t>
      </w:r>
      <w:r>
        <w:rPr>
          <w:rStyle w:val="VerbatimChar"/>
        </w:rPr>
        <w:t xml:space="preserve">MSA-2026-09-11-v2.0</w:t>
      </w:r>
      <w:r>
        <w:t xml:space="preserve">,</w:t>
      </w:r>
      <w:r>
        <w:t xml:space="preserve"> </w:t>
      </w:r>
      <w:r>
        <w:rPr>
          <w:rStyle w:val="VerbatimChar"/>
        </w:rPr>
        <w:t xml:space="preserve">isDraft: false</w:t>
      </w:r>
      <w:r>
        <w:t xml:space="preserve">, all</w:t>
      </w:r>
      <w:r>
        <w:t xml:space="preserve"> </w:t>
      </w:r>
      <w:r>
        <w:t xml:space="preserve">“</w:t>
      </w:r>
      <w:r>
        <w:t xml:space="preserve">DRAFT FOR REVIEW — NOT ATTORNEY-APPROVED</w:t>
      </w:r>
      <w:r>
        <w:t xml:space="preserve">”</w:t>
      </w:r>
      <w:r>
        <w:t xml:space="preserve"> </w:t>
      </w:r>
      <w:r>
        <w:t xml:space="preserve">banners removed, and the text now</w:t>
      </w:r>
      <w:r>
        <w:t xml:space="preserve"> </w:t>
      </w:r>
      <w:r>
        <w:t xml:space="preserve">references the</w:t>
      </w:r>
      <w:r>
        <w:t xml:space="preserve"> </w:t>
      </w:r>
      <w:r>
        <w:rPr>
          <w:bCs/>
          <w:b/>
        </w:rPr>
        <w:t xml:space="preserve">Master Merchant Services Agreement, Version 2.0 (dated September 11,</w:t>
      </w:r>
      <w:r>
        <w:rPr>
          <w:bCs/>
          <w:b/>
        </w:rPr>
        <w:t xml:space="preserve"> </w:t>
      </w:r>
      <w:r>
        <w:rPr>
          <w:bCs/>
          <w:b/>
        </w:rPr>
        <w:t xml:space="preserve">2026)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The signup step 5 heading changed from</w:t>
      </w:r>
      <w:r>
        <w:t xml:space="preserve"> </w:t>
      </w:r>
      <w:r>
        <w:t xml:space="preserve">“</w:t>
      </w:r>
      <w:r>
        <w:t xml:space="preserve">Draft Agreement Review</w:t>
      </w:r>
      <w:r>
        <w:t xml:space="preserve">”</w:t>
      </w:r>
      <w:r>
        <w:t xml:space="preserve"> </w:t>
      </w:r>
      <w:r>
        <w:t xml:space="preserve">to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Merchant Services Agreement</w:t>
      </w:r>
      <w:r>
        <w:rPr>
          <w:bCs/>
          <w:b/>
        </w:rPr>
        <w:t xml:space="preserve">”</w:t>
      </w:r>
      <w:r>
        <w:t xml:space="preserve"> </w:t>
      </w:r>
      <w:r>
        <w:t xml:space="preserve">and displays the active version.</w:t>
      </w:r>
    </w:p>
    <w:bookmarkStart w:id="21" w:name="X654da74b46a61ec18ceecb680568428cdf31ba6"/>
    <w:p>
      <w:pPr>
        <w:pStyle w:val="Heading3"/>
      </w:pPr>
      <w:r>
        <w:t xml:space="preserve">IMPORTANT — the agreement is database-backed</w:t>
      </w:r>
    </w:p>
    <w:p>
      <w:pPr>
        <w:pStyle w:val="FirstParagraph"/>
      </w:pPr>
      <w:r>
        <w:rPr>
          <w:rStyle w:val="VerbatimChar"/>
        </w:rPr>
        <w:t xml:space="preserve">getActiveAgreement()</w:t>
      </w:r>
      <w:r>
        <w:t xml:space="preserve"> </w:t>
      </w:r>
      <w:r>
        <w:t xml:space="preserve">serves the row in</w:t>
      </w:r>
      <w:r>
        <w:t xml:space="preserve"> </w:t>
      </w:r>
      <w:r>
        <w:rPr>
          <w:rStyle w:val="VerbatimChar"/>
        </w:rPr>
        <w:t xml:space="preserve">agreement_versions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is_active = true</w:t>
      </w:r>
      <w:r>
        <w:t xml:space="preserve">.</w:t>
      </w:r>
      <w:r>
        <w:t xml:space="preserve"> </w:t>
      </w:r>
      <w:r>
        <w:t xml:space="preserve">Editing the code constant is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enough. After deploy, run the seed once to insert</w:t>
      </w:r>
      <w:r>
        <w:t xml:space="preserve"> </w:t>
      </w:r>
      <w:r>
        <w:t xml:space="preserve">and activate MSA v2.0 (and deactivate old DRAFT rows):</w:t>
      </w:r>
    </w:p>
    <w:p>
      <w:pPr>
        <w:pStyle w:val="SourceCode"/>
      </w:pPr>
      <w:r>
        <w:rPr>
          <w:rStyle w:val="VerbatimChar"/>
        </w:rPr>
        <w:t xml:space="preserve">pnpm --filter @workspace/api-server seed:agreement   # requires DATABASE_URL</w:t>
      </w:r>
    </w:p>
    <w:bookmarkEnd w:id="21"/>
    <w:bookmarkEnd w:id="22"/>
    <w:bookmarkStart w:id="23" w:name="legal-footer-on-all-pages"/>
    <w:p>
      <w:pPr>
        <w:pStyle w:val="Heading2"/>
      </w:pPr>
      <w:r>
        <w:t xml:space="preserve">3. Legal footer on all pages</w:t>
      </w:r>
    </w:p>
    <w:p>
      <w:pPr>
        <w:numPr>
          <w:ilvl w:val="0"/>
          <w:numId w:val="1003"/>
        </w:numPr>
        <w:pStyle w:val="Compact"/>
      </w:pPr>
      <w:r>
        <w:t xml:space="preserve">New</w:t>
      </w:r>
      <w:r>
        <w:t xml:space="preserve"> </w:t>
      </w:r>
      <w:r>
        <w:rPr>
          <w:rStyle w:val="VerbatimChar"/>
        </w:rPr>
        <w:t xml:space="preserve">artifacts/sixth-front/src/components/legal-footer.tsx</w:t>
      </w:r>
      <w:r>
        <w:t xml:space="preserve"> </w:t>
      </w:r>
      <w:r>
        <w:t xml:space="preserve">renders links to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/sms-terms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t xml:space="preserve">Added to the home page footer, the signup wizard, and every legal page.</w:t>
      </w:r>
    </w:p>
    <w:bookmarkEnd w:id="23"/>
    <w:bookmarkStart w:id="24" w:name="legal-route-pages-verbatim-content"/>
    <w:p>
      <w:pPr>
        <w:pStyle w:val="Heading2"/>
      </w:pPr>
      <w:r>
        <w:t xml:space="preserve">4. Legal route pages (verbatim content)</w:t>
      </w:r>
    </w:p>
    <w:p>
      <w:pPr>
        <w:numPr>
          <w:ilvl w:val="0"/>
          <w:numId w:val="1004"/>
        </w:numPr>
        <w:pStyle w:val="Compact"/>
      </w:pPr>
      <w:r>
        <w:t xml:space="preserve">New routes</w:t>
      </w:r>
      <w:r>
        <w:t xml:space="preserve"> </w:t>
      </w:r>
      <w:r>
        <w:rPr>
          <w:rStyle w:val="VerbatimChar"/>
        </w:rPr>
        <w:t xml:space="preserve">/privacy</w:t>
      </w:r>
      <w:r>
        <w:t xml:space="preserve">,</w:t>
      </w:r>
      <w:r>
        <w:t xml:space="preserve"> </w:t>
      </w:r>
      <w:r>
        <w:rPr>
          <w:rStyle w:val="VerbatimChar"/>
        </w:rPr>
        <w:t xml:space="preserve">/terms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/cookies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/sms-terms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Pages under</w:t>
      </w:r>
      <w:r>
        <w:t xml:space="preserve"> </w:t>
      </w:r>
      <w:r>
        <w:rPr>
          <w:rStyle w:val="VerbatimChar"/>
        </w:rPr>
        <w:t xml:space="preserve">artifacts/sixth-front/src/pages/legal/</w:t>
      </w:r>
      <w:r>
        <w:t xml:space="preserve"> </w:t>
      </w:r>
      <w:r>
        <w:t xml:space="preserve">render the attorney-approved</w:t>
      </w:r>
      <w:r>
        <w:t xml:space="preserve"> </w:t>
      </w:r>
      <w:r>
        <w:t xml:space="preserve">text</w:t>
      </w:r>
      <w:r>
        <w:t xml:space="preserve"> </w:t>
      </w:r>
      <w:r>
        <w:rPr>
          <w:bCs/>
          <w:b/>
        </w:rPr>
        <w:t xml:space="preserve">verbatim</w:t>
      </w:r>
      <w:r>
        <w:t xml:space="preserve"> </w:t>
      </w:r>
      <w:r>
        <w:t xml:space="preserve">via Vite</w:t>
      </w:r>
      <w:r>
        <w:t xml:space="preserve"> </w:t>
      </w:r>
      <w:r>
        <w:rPr>
          <w:rStyle w:val="VerbatimChar"/>
        </w:rPr>
        <w:t xml:space="preserve">?raw</w:t>
      </w:r>
      <w:r>
        <w:t xml:space="preserve"> </w:t>
      </w:r>
      <w:r>
        <w:t xml:space="preserve">imports from</w:t>
      </w:r>
      <w:r>
        <w:t xml:space="preserve"> </w:t>
      </w:r>
      <w:r>
        <w:rPr>
          <w:rStyle w:val="VerbatimChar"/>
        </w:rPr>
        <w:t xml:space="preserve">artifacts/sixth-front/src/legal/*.txt</w:t>
      </w:r>
      <w:r>
        <w:t xml:space="preserve"> </w:t>
      </w:r>
      <w:r>
        <w:t xml:space="preserve">(Privacy Policy &amp; Website ToU &amp; Cookie</w:t>
      </w:r>
      <w:r>
        <w:t xml:space="preserve"> </w:t>
      </w:r>
      <w:r>
        <w:t xml:space="preserve">Notice last updated Sept 4, 2026; SMS &amp; Email Terms v2.0 Sept 11, 2026). No text is</w:t>
      </w:r>
      <w:r>
        <w:t xml:space="preserve"> </w:t>
      </w:r>
      <w:r>
        <w:t xml:space="preserve">retyped or paraphrased.</w:t>
      </w:r>
    </w:p>
    <w:bookmarkEnd w:id="24"/>
    <w:bookmarkStart w:id="25" w:name="Xb1b60d2232a769db00a7aceb535e2b90ca98fbc"/>
    <w:p>
      <w:pPr>
        <w:pStyle w:val="Heading2"/>
      </w:pPr>
      <w:r>
        <w:t xml:space="preserve">5. Clickwrap consent + intake notices (verbatim)</w:t>
      </w:r>
    </w:p>
    <w:p>
      <w:pPr>
        <w:numPr>
          <w:ilvl w:val="0"/>
          <w:numId w:val="1005"/>
        </w:numPr>
        <w:pStyle w:val="Compact"/>
      </w:pPr>
      <w:r>
        <w:t xml:space="preserve">The step-5 acceptance checkbox now uses stronger clickwrap language referencing the</w:t>
      </w:r>
      <w:r>
        <w:t xml:space="preserve"> </w:t>
      </w:r>
      <w:r>
        <w:t xml:space="preserve">on-screen MSA + Pricing Schedule + version and links to all four legal documents.</w:t>
      </w:r>
    </w:p>
    <w:p>
      <w:pPr>
        <w:numPr>
          <w:ilvl w:val="0"/>
          <w:numId w:val="1005"/>
        </w:numPr>
        <w:pStyle w:val="Compact"/>
      </w:pPr>
      <w:r>
        <w:t xml:space="preserve">The non-binding intake notice and privacy authorization notice</w:t>
      </w:r>
      <w:r>
        <w:t xml:space="preserve"> </w:t>
      </w:r>
      <w:r>
        <w:t xml:space="preserve">(Consumer Checkout Implementation Language §5 and §6, verbatim) are shown above the</w:t>
      </w:r>
      <w:r>
        <w:t xml:space="preserve"> </w:t>
      </w:r>
      <w:r>
        <w:t xml:space="preserve">submit button on both the home preview form and signup step 1.</w:t>
      </w:r>
    </w:p>
    <w:bookmarkEnd w:id="25"/>
    <w:bookmarkStart w:id="26" w:name="acceptance_audit_logs-insert-only"/>
    <w:p>
      <w:pPr>
        <w:pStyle w:val="Heading2"/>
      </w:pPr>
      <w:r>
        <w:t xml:space="preserve">6. acceptance_audit_logs (INSERT-only)</w:t>
      </w:r>
    </w:p>
    <w:p>
      <w:pPr>
        <w:numPr>
          <w:ilvl w:val="0"/>
          <w:numId w:val="1006"/>
        </w:numPr>
        <w:pStyle w:val="Compact"/>
      </w:pPr>
      <w:r>
        <w:t xml:space="preserve">New table</w:t>
      </w:r>
      <w:r>
        <w:t xml:space="preserve"> </w:t>
      </w:r>
      <w:r>
        <w:rPr>
          <w:rStyle w:val="VerbatimChar"/>
        </w:rPr>
        <w:t xml:space="preserve">acceptance_audit_logs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lib/db/src/schema/merchant-intake.ts</w:t>
      </w:r>
      <w:r>
        <w:t xml:space="preserve"> </w:t>
      </w:r>
      <w:r>
        <w:t xml:space="preserve">with the</w:t>
      </w:r>
      <w:r>
        <w:t xml:space="preserve"> </w:t>
      </w:r>
      <w:r>
        <w:t xml:space="preserve">required fields:</w:t>
      </w:r>
      <w:r>
        <w:t xml:space="preserve"> </w:t>
      </w:r>
      <w:r>
        <w:rPr>
          <w:rStyle w:val="VerbatimChar"/>
        </w:rPr>
        <w:t xml:space="preserve">record_id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merchant_id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document_hash</w:t>
      </w:r>
      <w:r>
        <w:t xml:space="preserve"> </w:t>
      </w:r>
      <w:r>
        <w:t xml:space="preserve">(SHA-256),</w:t>
      </w:r>
      <w:r>
        <w:t xml:space="preserve"> </w:t>
      </w:r>
      <w:r>
        <w:rPr>
          <w:rStyle w:val="VerbatimChar"/>
        </w:rPr>
        <w:t xml:space="preserve">acceptance_timestamp_utc</w:t>
      </w:r>
      <w:r>
        <w:t xml:space="preserve">,</w:t>
      </w:r>
      <w:r>
        <w:t xml:space="preserve"> </w:t>
      </w:r>
      <w:r>
        <w:rPr>
          <w:rStyle w:val="VerbatimChar"/>
        </w:rPr>
        <w:t xml:space="preserve">ip_address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user_agent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session_id</w:t>
      </w:r>
      <w:r>
        <w:t xml:space="preserve">.</w:t>
      </w:r>
    </w:p>
    <w:p>
      <w:pPr>
        <w:numPr>
          <w:ilvl w:val="0"/>
          <w:numId w:val="1006"/>
        </w:numPr>
        <w:pStyle w:val="Compact"/>
      </w:pPr>
      <w:r>
        <w:rPr>
          <w:rStyle w:val="VerbatimChar"/>
        </w:rPr>
        <w:t xml:space="preserve">submitStandard()</w:t>
      </w:r>
      <w:r>
        <w:t xml:space="preserve"> </w:t>
      </w:r>
      <w:r>
        <w:t xml:space="preserve">now writes one audit row per acceptance inside the same</w:t>
      </w:r>
      <w:r>
        <w:t xml:space="preserve"> </w:t>
      </w:r>
      <w:r>
        <w:t xml:space="preserve">transaction, hashing the exact displayed document (SHA-256).</w:t>
      </w:r>
    </w:p>
    <w:p>
      <w:pPr>
        <w:numPr>
          <w:ilvl w:val="0"/>
          <w:numId w:val="1006"/>
        </w:numPr>
        <w:pStyle w:val="Compact"/>
      </w:pPr>
      <w:r>
        <w:t xml:space="preserve">INSERT-only enforcement (blocks UPDATE/DELETE via triggers) is in</w:t>
      </w:r>
      <w:r>
        <w:t xml:space="preserve"> </w:t>
      </w:r>
      <w:r>
        <w:rPr>
          <w:rStyle w:val="VerbatimChar"/>
        </w:rPr>
        <w:t xml:space="preserve">lib/db/sql/acceptance_audit_logs_insert_only.sql</w:t>
      </w:r>
      <w:r>
        <w:t xml:space="preserve">. drizzle-kit push does not manage</w:t>
      </w:r>
      <w:r>
        <w:t xml:space="preserve"> </w:t>
      </w:r>
      <w:r>
        <w:t xml:space="preserve">triggers, so after pushing the schema run:</w:t>
      </w:r>
    </w:p>
    <w:p>
      <w:pPr>
        <w:pStyle w:val="SourceCode"/>
      </w:pPr>
      <w:r>
        <w:rPr>
          <w:rStyle w:val="VerbatimChar"/>
        </w:rPr>
        <w:t xml:space="preserve">pnpm --filter @workspace/db push</w:t>
      </w:r>
      <w:r>
        <w:br/>
      </w:r>
      <w:r>
        <w:rPr>
          <w:rStyle w:val="VerbatimChar"/>
        </w:rPr>
        <w:t xml:space="preserve">psql "$DATABASE_URL" -f lib/db/sql/acceptance_audit_logs_insert_only.sql</w:t>
      </w:r>
    </w:p>
    <w:p>
      <w:pPr>
        <w:pStyle w:val="FirstParagraph"/>
      </w:pPr>
      <w:r>
        <w:t xml:space="preserve">(The existing</w:t>
      </w:r>
      <w:r>
        <w:t xml:space="preserve"> </w:t>
      </w:r>
      <w:r>
        <w:rPr>
          <w:rStyle w:val="VerbatimChar"/>
        </w:rPr>
        <w:t xml:space="preserve">agreement_acceptances</w:t>
      </w:r>
      <w:r>
        <w:t xml:space="preserve"> </w:t>
      </w:r>
      <w:r>
        <w:t xml:space="preserve">table is unchanged and still stores full</w:t>
      </w:r>
      <w:r>
        <w:t xml:space="preserve"> </w:t>
      </w:r>
      <w:r>
        <w:t xml:space="preserve">form/payload snapshots.)</w:t>
      </w:r>
    </w:p>
    <w:bookmarkEnd w:id="26"/>
    <w:bookmarkStart w:id="27" w:name="vercel-deployment-prep"/>
    <w:p>
      <w:pPr>
        <w:pStyle w:val="Heading2"/>
      </w:pPr>
      <w:r>
        <w:t xml:space="preserve">7. Vercel deployment prep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vercel.json</w:t>
      </w:r>
      <w:r>
        <w:t xml:space="preserve"> </w:t>
      </w:r>
      <w:r>
        <w:t xml:space="preserve">builds the Vite frontend to</w:t>
      </w:r>
      <w:r>
        <w:t xml:space="preserve"> </w:t>
      </w:r>
      <w:r>
        <w:rPr>
          <w:rStyle w:val="VerbatimChar"/>
        </w:rPr>
        <w:t xml:space="preserve">artifacts/sixth-front/dist/public</w:t>
      </w:r>
      <w:r>
        <w:t xml:space="preserve"> </w:t>
      </w:r>
      <w:r>
        <w:t xml:space="preserve">and</w:t>
      </w:r>
      <w:r>
        <w:t xml:space="preserve"> </w:t>
      </w:r>
      <w:r>
        <w:t xml:space="preserve">routes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to a serverless function.</w:t>
      </w:r>
    </w:p>
    <w:p>
      <w:pPr>
        <w:numPr>
          <w:ilvl w:val="0"/>
          <w:numId w:val="1007"/>
        </w:numPr>
        <w:pStyle w:val="Compact"/>
      </w:pPr>
      <w:r>
        <w:rPr>
          <w:rStyle w:val="VerbatimChar"/>
        </w:rPr>
        <w:t xml:space="preserve">api/index.ts</w:t>
      </w:r>
      <w:r>
        <w:t xml:space="preserve"> </w:t>
      </w:r>
      <w:r>
        <w:t xml:space="preserve">reuses the existing Express app (exported without</w:t>
      </w:r>
      <w:r>
        <w:t xml:space="preserve"> </w:t>
      </w:r>
      <w:r>
        <w:rPr>
          <w:rStyle w:val="VerbatimChar"/>
        </w:rPr>
        <w:t xml:space="preserve">listen()</w:t>
      </w:r>
      <w:r>
        <w:t xml:space="preserve">).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Not build-verified on Vercel from this environment.</w:t>
      </w:r>
      <w:r>
        <w:t xml:space="preserve"> </w:t>
      </w:r>
      <w:r>
        <w:t xml:space="preserve">The background jobs in the</w:t>
      </w:r>
      <w:r>
        <w:t xml:space="preserve"> </w:t>
      </w:r>
      <w:r>
        <w:t xml:space="preserve">api-server (Stripe webhook bootstrap, onboarding poller) are intentionally excluded</w:t>
      </w:r>
      <w:r>
        <w:t xml:space="preserve"> </w:t>
      </w:r>
      <w:r>
        <w:t xml:space="preserve">from the serverless entry and should run from the persistent Replit deployment, which</w:t>
      </w:r>
      <w:r>
        <w:t xml:space="preserve"> </w:t>
      </w:r>
      <w:r>
        <w:t xml:space="preserve">remains the primary supported deployment path (</w:t>
      </w:r>
      <w:r>
        <w:rPr>
          <w:rStyle w:val="VerbatimChar"/>
        </w:rPr>
        <w:t xml:space="preserve">.replit</w:t>
      </w:r>
      <w:r>
        <w:t xml:space="preserve">).</w:t>
      </w:r>
    </w:p>
    <w:bookmarkEnd w:id="27"/>
    <w:bookmarkStart w:id="28" w:name="stripe-verification-fix-9"/>
    <w:p>
      <w:pPr>
        <w:pStyle w:val="Heading2"/>
      </w:pPr>
      <w:r>
        <w:t xml:space="preserve">8. Stripe verification (fix #9)</w:t>
      </w:r>
    </w:p>
    <w:p>
      <w:pPr>
        <w:numPr>
          <w:ilvl w:val="0"/>
          <w:numId w:val="1008"/>
        </w:numPr>
        <w:pStyle w:val="Compact"/>
      </w:pPr>
      <w:r>
        <w:t xml:space="preserve">The onboarding code uses</w:t>
      </w:r>
      <w:r>
        <w:t xml:space="preserve"> </w:t>
      </w:r>
      <w:r>
        <w:rPr>
          <w:bCs/>
          <w:b/>
        </w:rPr>
        <w:t xml:space="preserve">Stripe Accounts v2 merchant configuration</w:t>
      </w:r>
      <w:r>
        <w:t xml:space="preserve"> </w:t>
      </w:r>
      <w:r>
        <w:t xml:space="preserve">(Express</w:t>
      </w:r>
      <w:r>
        <w:t xml:space="preserve"> </w:t>
      </w:r>
      <w:r>
        <w:t xml:space="preserve">dashboard,</w:t>
      </w:r>
      <w:r>
        <w:t xml:space="preserve"> </w:t>
      </w:r>
      <w:r>
        <w:rPr>
          <w:rStyle w:val="VerbatimChar"/>
        </w:rPr>
        <w:t xml:space="preserve">card_payments</w:t>
      </w:r>
      <w:r>
        <w:t xml:space="preserve"> </w:t>
      </w:r>
      <w:r>
        <w:t xml:space="preserve">capability,</w:t>
      </w:r>
      <w:r>
        <w:t xml:space="preserve"> </w:t>
      </w:r>
      <w:r>
        <w:rPr>
          <w:rStyle w:val="VerbatimChar"/>
        </w:rPr>
        <w:t xml:space="preserve">fees_collector: "stripe"</w:t>
      </w:r>
      <w:r>
        <w:t xml:space="preserve">) — the</w:t>
      </w:r>
      <w:r>
        <w:t xml:space="preserve"> </w:t>
      </w:r>
      <w:r>
        <w:rPr>
          <w:bCs/>
          <w:b/>
        </w:rPr>
        <w:t xml:space="preserve">Direct</w:t>
      </w:r>
      <w:r>
        <w:rPr>
          <w:bCs/>
          <w:b/>
        </w:rPr>
        <w:t xml:space="preserve"> </w:t>
      </w:r>
      <w:r>
        <w:rPr>
          <w:bCs/>
          <w:b/>
        </w:rPr>
        <w:t xml:space="preserve">Charges</w:t>
      </w:r>
      <w:r>
        <w:t xml:space="preserve"> </w:t>
      </w:r>
      <w:r>
        <w:t xml:space="preserve">model. There is no</w:t>
      </w:r>
      <w:r>
        <w:t xml:space="preserve"> </w:t>
      </w:r>
      <w:r>
        <w:rPr>
          <w:rStyle w:val="VerbatimChar"/>
        </w:rPr>
        <w:t xml:space="preserve">transfer_data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transfers.create</w:t>
      </w:r>
      <w:r>
        <w:t xml:space="preserve"> </w:t>
      </w:r>
      <w:r>
        <w:t xml:space="preserve">in the active code;</w:t>
      </w:r>
      <w:r>
        <w:t xml:space="preserve"> </w:t>
      </w:r>
      <w:r>
        <w:rPr>
          <w:rStyle w:val="VerbatimChar"/>
        </w:rPr>
        <w:t xml:space="preserve">transfers</w:t>
      </w:r>
      <w:r>
        <w:t xml:space="preserve"> </w:t>
      </w:r>
      <w:r>
        <w:t xml:space="preserve">appears only in</w:t>
      </w:r>
      <w:r>
        <w:t xml:space="preserve"> </w:t>
      </w:r>
      <w:r>
        <w:rPr>
          <w:rStyle w:val="VerbatimChar"/>
        </w:rPr>
        <w:t xml:space="preserve">syncLegacyMerchantAccount</w:t>
      </w:r>
      <w:r>
        <w:t xml:space="preserve"> </w:t>
      </w:r>
      <w:r>
        <w:t xml:space="preserve">for pre-existing legacy rows.</w:t>
      </w:r>
    </w:p>
    <w:p>
      <w:pPr>
        <w:numPr>
          <w:ilvl w:val="0"/>
          <w:numId w:val="1008"/>
        </w:numPr>
        <w:pStyle w:val="Compact"/>
      </w:pPr>
      <w:r>
        <w:t xml:space="preserve">Keys are environment-driven;</w:t>
      </w:r>
      <w:r>
        <w:t xml:space="preserve"> </w:t>
      </w:r>
      <w:r>
        <w:rPr>
          <w:rStyle w:val="VerbatimChar"/>
        </w:rPr>
        <w:t xml:space="preserve">stripe-client.ts</w:t>
      </w:r>
      <w:r>
        <w:t xml:space="preserve"> </w:t>
      </w:r>
      <w:r>
        <w:t xml:space="preserve">accepts</w:t>
      </w:r>
      <w:r>
        <w:t xml:space="preserve"> </w:t>
      </w:r>
      <w:r>
        <w:rPr>
          <w:rStyle w:val="VerbatimChar"/>
        </w:rPr>
        <w:t xml:space="preserve">sk_test_</w:t>
      </w:r>
      <w:r>
        <w:t xml:space="preserve">/</w:t>
      </w:r>
      <w:r>
        <w:rPr>
          <w:rStyle w:val="VerbatimChar"/>
        </w:rPr>
        <w:t xml:space="preserve">rk_test_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sk_live_</w:t>
      </w:r>
      <w:r>
        <w:t xml:space="preserve">/</w:t>
      </w:r>
      <w:r>
        <w:rPr>
          <w:rStyle w:val="VerbatimChar"/>
        </w:rPr>
        <w:t xml:space="preserve">rk_live_</w:t>
      </w:r>
      <w:r>
        <w:t xml:space="preserve">.</w:t>
      </w:r>
      <w:r>
        <w:t xml:space="preserve"> </w:t>
      </w:r>
      <w:r>
        <w:rPr>
          <w:bCs/>
          <w:b/>
        </w:rPr>
        <w:t xml:space="preserve">Set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STRIPE_SECRET_KEY</w:t>
      </w:r>
      <w:r>
        <w:rPr>
          <w:bCs/>
          <w:b/>
        </w:rPr>
        <w:t xml:space="preserve"> </w:t>
      </w:r>
      <w:r>
        <w:rPr>
          <w:bCs/>
          <w:b/>
        </w:rPr>
        <w:t xml:space="preserve">to 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sk_test_...</w:t>
      </w:r>
      <w:r>
        <w:rPr>
          <w:bCs/>
          <w:b/>
        </w:rPr>
        <w:t xml:space="preserve"> </w:t>
      </w:r>
      <w:r>
        <w:rPr>
          <w:bCs/>
          <w:b/>
        </w:rPr>
        <w:t xml:space="preserve">sandbox key</w:t>
      </w:r>
      <w:r>
        <w:t xml:space="preserve"> </w:t>
      </w:r>
      <w:r>
        <w:t xml:space="preserve">in</w:t>
      </w:r>
      <w:r>
        <w:t xml:space="preserve"> </w:t>
      </w:r>
      <w:r>
        <w:t xml:space="preserve">the deploy environment to run in test mode. (The key value itself is not in the repo</w:t>
      </w:r>
      <w:r>
        <w:t xml:space="preserve"> </w:t>
      </w:r>
      <w:r>
        <w:t xml:space="preserve">and cannot be verified from source.)</w:t>
      </w:r>
    </w:p>
    <w:bookmarkEnd w:id="28"/>
    <w:bookmarkStart w:id="29" w:name="validation-performed-in-this-branch"/>
    <w:p>
      <w:pPr>
        <w:pStyle w:val="Heading2"/>
      </w:pPr>
      <w:r>
        <w:t xml:space="preserve">Validation performed in this branch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pnpm run typecheck</w:t>
      </w:r>
      <w:r>
        <w:t xml:space="preserve"> </w:t>
      </w:r>
      <w:r>
        <w:t xml:space="preserve">— passed (all workspace projects).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pnpm --filter @workspace/sixth-front build</w:t>
      </w:r>
      <w:r>
        <w:t xml:space="preserve"> </w:t>
      </w:r>
      <w:r>
        <w:t xml:space="preserve">— passed (Vite, 112 modules).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pnpm --filter @workspace/api-server build</w:t>
      </w:r>
      <w:r>
        <w:t xml:space="preserve"> </w:t>
      </w:r>
      <w:r>
        <w:t xml:space="preserve">— passed (esbuild bundle).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2026-09-21T08:37:31Z</dcterms:created>
  <dcterms:modified xsi:type="dcterms:W3CDTF">2026-09-21T08:37:31Z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