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Waterfront</w:t>
        <w:br/>
        <w:t>Feature Object Selection Brief</w:t>
      </w:r>
    </w:p>
    <w:p>
      <w:pPr>
        <w:pStyle w:val="Subtitle"/>
        <w:jc w:val="center"/>
      </w:pPr>
      <w:r>
        <w:t>Spring 2027 Community History Exhibition</w:t>
      </w:r>
    </w:p>
    <w:p>
      <w:pPr>
        <w:jc w:val="center"/>
      </w:pPr>
      <w:r>
        <w:rPr>
          <w:b/>
        </w:rPr>
        <w:t>Controlled review date: 18 February 2027, 4:00 PM</w:t>
      </w:r>
    </w:p>
    <w:p>
      <w:pPr>
        <w:pStyle w:val="Heading1"/>
      </w:pPr>
      <w:r>
        <w:t>Purpose</w:t>
      </w:r>
    </w:p>
    <w:p>
      <w:r>
        <w:t>Prepare one public museum feature panel for the Working Waterfront exhibition. The workbooks are operational records from Collections, Curatorial, Interpretation, Loans, Rights, Conservation, and Exhibition Production. The public panel must be based on the final feasible selection, not merely the highest initial scores.</w:t>
      </w:r>
    </w:p>
    <w:p>
      <w:r>
        <w:t>The exhibition runs from 20 March through 15 August 2027, inclusive. Public campaign rights must begin no later than 25 February 2027.</w:t>
      </w:r>
    </w:p>
    <w:p>
      <w:pPr>
        <w:pStyle w:val="Heading1"/>
      </w:pPr>
      <w:r>
        <w:t>1. Resolve the controlling records</w:t>
      </w:r>
    </w:p>
    <w:p>
      <w:r>
        <w:t>For every accession number and every versioned sheet, ignore records timestamped after 18 February 2027 at 4:00 PM.</w:t>
      </w:r>
    </w:p>
    <w:p>
      <w:r>
        <w:t>Within each sheet, choose the record with the latest timestamp on or before the cutoff. When two records share the same timestamp, the larger revision_no controls. Never combine an older favorable field with a newer unfavorable record.</w:t>
      </w:r>
    </w:p>
    <w:p>
      <w:r>
        <w:t>Apply this rule separately to Curatorial Reviews, Interpretation Reviews, Loan and Insurance, Rights and Credits, Conservation Assessments, Rotation Approvals, and Placement Requests.</w:t>
      </w:r>
    </w:p>
    <w:p>
      <w:pPr>
        <w:pStyle w:val="Heading1"/>
      </w:pPr>
      <w:r>
        <w:t>2. Individual eligibility</w:t>
      </w:r>
    </w:p>
    <w:p>
      <w:r>
        <w:t>An object is individually eligible only when every condition below is satisfied:</w:t>
      </w:r>
    </w:p>
    <w:p>
      <w:pPr>
        <w:pStyle w:val="ListBullet"/>
      </w:pPr>
      <w:r>
        <w:t>Object Register status is active.</w:t>
      </w:r>
    </w:p>
    <w:p>
      <w:pPr>
        <w:pStyle w:val="ListBullet"/>
      </w:pPr>
      <w:r>
        <w:t>The controlling Curatorial Review is final and approved; public label copy is final; the image asset is approved; and the research packet is complete.</w:t>
      </w:r>
    </w:p>
    <w:p>
      <w:pPr>
        <w:pStyle w:val="ListBullet"/>
      </w:pPr>
      <w:r>
        <w:t>Curatorial component minimums are: community relevance 82, narrative strength 82, provenance confidence 80, visual impact 78, and accessibility value 78.</w:t>
      </w:r>
    </w:p>
    <w:p>
      <w:pPr>
        <w:pStyle w:val="ListBullet"/>
      </w:pPr>
      <w:r>
        <w:t>The controlling Interpretation Review approves the public feature, public label, alt text, and credit line. An Audio stop also requires approved audio and transcript. A Large-print transcript requires an approved transcript. A Tactile replica requires an approved tactile asset.</w:t>
      </w:r>
    </w:p>
    <w:p>
      <w:pPr>
        <w:pStyle w:val="ListBullet"/>
      </w:pPr>
      <w:r>
        <w:t>The controlling Loan and Insurance record is confirmed and signed, has no public-display restriction, and covers the object’s complete assigned on-view window.</w:t>
      </w:r>
    </w:p>
    <w:p>
      <w:pPr>
        <w:pStyle w:val="ListBullet"/>
      </w:pPr>
      <w:r>
        <w:t>The controlling Rights and Credits record is cleared for gallery_and_promotion, has an approved credit line, starts by 25 February 2027, and remains valid through 15 August 2027.</w:t>
      </w:r>
    </w:p>
    <w:p>
      <w:pPr>
        <w:pStyle w:val="ListBullet"/>
      </w:pPr>
      <w:r>
        <w:t>The controlling Conservation Assessment is completed, display-approved, treatment is complete or not required, the mount is ready, and max_display_days covers the assigned on-view window.</w:t>
      </w:r>
    </w:p>
    <w:p>
      <w:pPr>
        <w:pStyle w:val="ListBullet"/>
      </w:pPr>
      <w:r>
        <w:t>The controlling Rotation Approval is approved and its dates exactly match the public on-view window.</w:t>
      </w:r>
    </w:p>
    <w:p>
      <w:pPr>
        <w:pStyle w:val="ListBullet"/>
      </w:pPr>
      <w:r>
        <w:t>The controlling Placement Request is ready. The assigned open zone must support the required case type and fit the object dimensions, weight, planned lux, and humidity range.</w:t>
      </w:r>
    </w:p>
    <w:p>
      <w:pPr>
        <w:pStyle w:val="Heading1"/>
      </w:pPr>
      <w:r>
        <w:t>3. Curatorial score and eligible ranking</w:t>
      </w:r>
    </w:p>
    <w:p>
      <w:r>
        <w:t>Calculate Curatorial score = 30% community relevance + 25% narrative strength + 20% provenance confidence + 15% visual impact + 10% accessibility value.</w:t>
      </w:r>
    </w:p>
    <w:p>
      <w:r>
        <w:t>Rank individually eligible objects by: (1) Curatorial score, descending; (2) community relevance, descending; (3) installation crew-minutes, ascending, where crew-minutes = install_minutes × required_crew; and (4) accession number, ascending.</w:t>
      </w:r>
    </w:p>
    <w:p>
      <w:pPr>
        <w:pStyle w:val="Heading1"/>
      </w:pPr>
      <w:r>
        <w:t>4. Build the provisional seven-object set</w:t>
      </w:r>
    </w:p>
    <w:p>
      <w:r>
        <w:t>The provisional set must contain exactly seven objects and cover all five required story themes: Waterfront Work; Transit and Movement; Flood and Resilience; Community Voice; Markets and Exchange.</w:t>
      </w:r>
    </w:p>
    <w:p>
      <w:r>
        <w:t>First take the highest-ranked eligible object for each required theme. Then scan the eligible ranking from the top and add objects until there are seven, while maintaining these limits:</w:t>
      </w:r>
    </w:p>
    <w:p>
      <w:pPr>
        <w:pStyle w:val="ListBullet"/>
      </w:pPr>
      <w:r>
        <w:t>no more than two objects from one collection;</w:t>
      </w:r>
    </w:p>
    <w:p>
      <w:pPr>
        <w:pStyle w:val="ListBullet"/>
      </w:pPr>
      <w:r>
        <w:t>no more than two objects assigned to one gallery;</w:t>
      </w:r>
    </w:p>
    <w:p>
      <w:pPr>
        <w:pStyle w:val="ListBullet"/>
      </w:pPr>
      <w:r>
        <w:t>at least five distinct object types;</w:t>
      </w:r>
    </w:p>
    <w:p>
      <w:pPr>
        <w:pStyle w:val="ListBullet"/>
      </w:pPr>
      <w:r>
        <w:t>at least three Audio stops, at least two Tactile replicas, and at least one Large-print transcript.</w:t>
      </w:r>
    </w:p>
    <w:p>
      <w:pPr>
        <w:pStyle w:val="Heading1"/>
      </w:pPr>
      <w:r>
        <w:t>5. Ordered resource review and replacement</w:t>
      </w:r>
    </w:p>
    <w:p>
      <w:r>
        <w:t>Review the provisional set in this exact order: (1) zone slot counts; (2) Case Inventory quantities; (3) confirmed gallery installation crew-minute capacity.</w:t>
      </w:r>
    </w:p>
    <w:p>
      <w:r>
        <w:t>When a conflict is found, preserve required-theme anchor objects whenever possible. Remove the lowest-ranked non-anchor object that contributes to the first unresolved conflict.</w:t>
      </w:r>
    </w:p>
    <w:p>
      <w:r>
        <w:t>Then scan the eligible ranking from the top for the next not-yet-selected object. Do not reconsider an object already removed. A replacement must preserve every theme, collection, gallery, object-type, and accessibility-feature constraint and must not recreate any resource conflict already resolved. Repeat until seven feasible objects remain.</w:t>
      </w:r>
    </w:p>
    <w:p>
      <w:r>
        <w:t>After replacement, present the final objects in eligible-rank order, not in the order in which replacements were made.</w:t>
      </w:r>
    </w:p>
    <w:p>
      <w:pPr>
        <w:pStyle w:val="Heading1"/>
      </w:pPr>
      <w:r>
        <w:t>6. Public panel content</w:t>
      </w:r>
    </w:p>
    <w:p>
      <w:r>
        <w:t>Create a single 1200 × 1600 portrait museum feature panel. It must use the exact title “Working Waterfront: Featured Objects” and subtitle “Spring 2027 Community History Exhibition”, plus the exhibition dates “March 20–August 15, 2027”.</w:t>
      </w:r>
    </w:p>
    <w:p>
      <w:r>
        <w:t>For each of the seven final objects, show all of the following public facts:</w:t>
      </w:r>
    </w:p>
    <w:p>
      <w:pPr>
        <w:pStyle w:val="ListBullet"/>
      </w:pPr>
      <w:r>
        <w:t>final priority number and display title;</w:t>
      </w:r>
    </w:p>
    <w:p>
      <w:pPr>
        <w:pStyle w:val="ListBullet"/>
      </w:pPr>
      <w:r>
        <w:t>accession number;</w:t>
      </w:r>
    </w:p>
    <w:p>
      <w:pPr>
        <w:pStyle w:val="ListBullet"/>
      </w:pPr>
      <w:r>
        <w:t>era/year and primary material;</w:t>
      </w:r>
    </w:p>
    <w:p>
      <w:pPr>
        <w:pStyle w:val="ListBullet"/>
      </w:pPr>
      <w:r>
        <w:t>gallery and zone ID;</w:t>
      </w:r>
    </w:p>
    <w:p>
      <w:pPr>
        <w:pStyle w:val="ListBullet"/>
      </w:pPr>
      <w:r>
        <w:t>story theme;</w:t>
      </w:r>
    </w:p>
    <w:p>
      <w:pPr>
        <w:pStyle w:val="ListBullet"/>
      </w:pPr>
      <w:r>
        <w:t>exact public credit line;</w:t>
      </w:r>
    </w:p>
    <w:p>
      <w:pPr>
        <w:pStyle w:val="ListBullet"/>
      </w:pPr>
      <w:r>
        <w:t>exact on-view date range;</w:t>
      </w:r>
    </w:p>
    <w:p>
      <w:pPr>
        <w:pStyle w:val="ListBullet"/>
      </w:pPr>
      <w:r>
        <w:t>approved accessibility feature;</w:t>
      </w:r>
    </w:p>
    <w:p>
      <w:pPr>
        <w:pStyle w:val="ListBullet"/>
      </w:pPr>
      <w:r>
        <w:t>the concise interpretive hook from Object Register.</w:t>
      </w:r>
    </w:p>
    <w:p>
      <w:r>
        <w:t>Add a “Plan Your Visit” route in gallery route order. For each gallery, list every selected object assigned there and the selected-object count for that gallery.</w:t>
      </w:r>
    </w:p>
    <w:p>
      <w:r>
        <w:t>Add a “Rotation Notice” giving the two limited-run documents, each exact on-view range, and inclusive day count.</w:t>
      </w:r>
    </w:p>
    <w:p>
      <w:r>
        <w:t>Add a “Selection Snapshot” containing: featured-object count; gallery count; theme count; earliest and latest object years; numeric year span; gallery distribution; theme distribution; collection distribution; object-type count; Audio-stop count; Tactile-replica count; Large-print-transcript count; full-run object count; and limited-run rotation-object count.</w:t>
      </w:r>
    </w:p>
    <w:p>
      <w:r>
        <w:t>Do not show internal component scores, rejection reasons, case shortages, or crew calculations. Do not present any unselected object as featured, routed, rotated, or recommended.</w:t>
      </w:r>
    </w:p>
    <w:p>
      <w:pPr>
        <w:pStyle w:val="Heading1"/>
      </w:pPr>
      <w:r>
        <w:t>Appendix: public-field semantics</w:t>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sz w:val="19"/>
              </w:rPr>
              <w:t>Field</w:t>
            </w:r>
          </w:p>
        </w:tc>
        <w:tc>
          <w:tcPr>
            <w:tcW w:type="dxa" w:w="4968"/>
          </w:tcPr>
          <w:p>
            <w:pPr>
              <w:spacing w:after="40"/>
            </w:pPr>
            <w:r>
              <w:rPr>
                <w:sz w:val="19"/>
              </w:rPr>
              <w:t>Use on the panel</w:t>
            </w:r>
          </w:p>
        </w:tc>
      </w:tr>
      <w:tr>
        <w:tc>
          <w:tcPr>
            <w:tcW w:type="dxa" w:w="4968"/>
          </w:tcPr>
          <w:p>
            <w:pPr>
              <w:spacing w:after="40"/>
            </w:pPr>
            <w:r>
              <w:rPr>
                <w:sz w:val="19"/>
              </w:rPr>
              <w:t>Era/year</w:t>
            </w:r>
          </w:p>
        </w:tc>
        <w:tc>
          <w:tcPr>
            <w:tcW w:type="dxa" w:w="4968"/>
          </w:tcPr>
          <w:p>
            <w:pPr>
              <w:spacing w:after="40"/>
            </w:pPr>
            <w:r>
              <w:rPr>
                <w:sz w:val="19"/>
              </w:rPr>
              <w:t>Use Object Register era_label; do not infer from accession number.</w:t>
            </w:r>
          </w:p>
        </w:tc>
      </w:tr>
      <w:tr>
        <w:tc>
          <w:tcPr>
            <w:tcW w:type="dxa" w:w="4968"/>
          </w:tcPr>
          <w:p>
            <w:pPr>
              <w:spacing w:after="40"/>
            </w:pPr>
            <w:r>
              <w:rPr>
                <w:sz w:val="19"/>
              </w:rPr>
              <w:t>Primary material</w:t>
            </w:r>
          </w:p>
        </w:tc>
        <w:tc>
          <w:tcPr>
            <w:tcW w:type="dxa" w:w="4968"/>
          </w:tcPr>
          <w:p>
            <w:pPr>
              <w:spacing w:after="40"/>
            </w:pPr>
            <w:r>
              <w:rPr>
                <w:sz w:val="19"/>
              </w:rPr>
              <w:t>Use material_summary exactly enough to preserve all named materials.</w:t>
            </w:r>
          </w:p>
        </w:tc>
      </w:tr>
      <w:tr>
        <w:tc>
          <w:tcPr>
            <w:tcW w:type="dxa" w:w="4968"/>
          </w:tcPr>
          <w:p>
            <w:pPr>
              <w:spacing w:after="40"/>
            </w:pPr>
            <w:r>
              <w:rPr>
                <w:sz w:val="19"/>
              </w:rPr>
              <w:t>Gallery and zone</w:t>
            </w:r>
          </w:p>
        </w:tc>
        <w:tc>
          <w:tcPr>
            <w:tcW w:type="dxa" w:w="4968"/>
          </w:tcPr>
          <w:p>
            <w:pPr>
              <w:spacing w:after="40"/>
            </w:pPr>
            <w:r>
              <w:rPr>
                <w:sz w:val="19"/>
              </w:rPr>
              <w:t>Use the controlling ready Placement Request.</w:t>
            </w:r>
          </w:p>
        </w:tc>
      </w:tr>
      <w:tr>
        <w:tc>
          <w:tcPr>
            <w:tcW w:type="dxa" w:w="4968"/>
          </w:tcPr>
          <w:p>
            <w:pPr>
              <w:spacing w:after="40"/>
            </w:pPr>
            <w:r>
              <w:rPr>
                <w:sz w:val="19"/>
              </w:rPr>
              <w:t>On-view range</w:t>
            </w:r>
          </w:p>
        </w:tc>
        <w:tc>
          <w:tcPr>
            <w:tcW w:type="dxa" w:w="4968"/>
          </w:tcPr>
          <w:p>
            <w:pPr>
              <w:spacing w:after="40"/>
            </w:pPr>
            <w:r>
              <w:rPr>
                <w:sz w:val="19"/>
              </w:rPr>
              <w:t>Use the controlling approved Rotation Approval, not the full exhibition dates by default.</w:t>
            </w:r>
          </w:p>
        </w:tc>
      </w:tr>
      <w:tr>
        <w:tc>
          <w:tcPr>
            <w:tcW w:type="dxa" w:w="4968"/>
          </w:tcPr>
          <w:p>
            <w:pPr>
              <w:spacing w:after="40"/>
            </w:pPr>
            <w:r>
              <w:rPr>
                <w:sz w:val="19"/>
              </w:rPr>
              <w:t>Credit line</w:t>
            </w:r>
          </w:p>
        </w:tc>
        <w:tc>
          <w:tcPr>
            <w:tcW w:type="dxa" w:w="4968"/>
          </w:tcPr>
          <w:p>
            <w:pPr>
              <w:spacing w:after="40"/>
            </w:pPr>
            <w:r>
              <w:rPr>
                <w:sz w:val="19"/>
              </w:rPr>
              <w:t>Use public_credit_line from Object Register only after the controlling Interpretation and Rights records approve it.</w:t>
            </w:r>
          </w:p>
        </w:tc>
      </w:tr>
      <w:tr>
        <w:tc>
          <w:tcPr>
            <w:tcW w:type="dxa" w:w="4968"/>
          </w:tcPr>
          <w:p>
            <w:pPr>
              <w:spacing w:after="40"/>
            </w:pPr>
            <w:r>
              <w:rPr>
                <w:sz w:val="19"/>
              </w:rPr>
              <w:t>Interpretive hook</w:t>
            </w:r>
          </w:p>
        </w:tc>
        <w:tc>
          <w:tcPr>
            <w:tcW w:type="dxa" w:w="4968"/>
          </w:tcPr>
          <w:p>
            <w:pPr>
              <w:spacing w:after="40"/>
            </w:pPr>
            <w:r>
              <w:rPr>
                <w:sz w:val="19"/>
              </w:rPr>
              <w:t>Use interpretation_tag from Object Register; concise paraphrase is acceptable only when every factual idea is retained.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