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FlowForge Sprint</w:t>
        <w:br/>
        <w:t>Launch Creative Brief</w:t>
      </w:r>
    </w:p>
    <w:p>
      <w:r>
        <w:t>Version 5.1  |  Approved 23 June 2026</w:t>
      </w:r>
    </w:p>
    <w:p>
      <w:r>
        <w:t>Paid-social launch brief for the June release. Use this brief together with Campaign_Operations.xlsx, the brand guide, and the creative asset register. The final message is assembled from the approved base copy and the latest valid launch message package.</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tcPr>
          <w:p>
            <w:pPr>
              <w:spacing w:after="0"/>
            </w:pPr>
            <w:r>
              <w:rPr>
                <w:rFonts w:ascii="Arial" w:hAnsi="Arial"/>
                <w:b/>
                <w:color w:val="0F2D2E"/>
                <w:sz w:val="16"/>
              </w:rPr>
              <w:t>Campaign</w:t>
            </w:r>
          </w:p>
        </w:tc>
        <w:tc>
          <w:tcPr>
            <w:tcW w:type="dxa" w:w="2570"/>
          </w:tcPr>
          <w:p>
            <w:pPr>
              <w:spacing w:after="0"/>
            </w:pPr>
            <w:r>
              <w:rPr>
                <w:rFonts w:ascii="Arial" w:hAnsi="Arial"/>
                <w:sz w:val="16"/>
              </w:rPr>
              <w:t>SPRINT-JUNE-2026</w:t>
            </w:r>
          </w:p>
        </w:tc>
        <w:tc>
          <w:tcPr>
            <w:tcW w:type="dxa" w:w="2570"/>
          </w:tcPr>
          <w:p>
            <w:pPr>
              <w:spacing w:after="0"/>
            </w:pPr>
            <w:r>
              <w:rPr>
                <w:rFonts w:ascii="Arial" w:hAnsi="Arial"/>
                <w:b/>
                <w:color w:val="0F2D2E"/>
                <w:sz w:val="16"/>
              </w:rPr>
              <w:t>Go-live</w:t>
            </w:r>
          </w:p>
        </w:tc>
        <w:tc>
          <w:tcPr>
            <w:tcW w:type="dxa" w:w="2570"/>
          </w:tcPr>
          <w:p>
            <w:pPr>
              <w:spacing w:after="0"/>
            </w:pPr>
            <w:r>
              <w:rPr>
                <w:rFonts w:ascii="Arial" w:hAnsi="Arial"/>
                <w:sz w:val="16"/>
              </w:rPr>
              <w:t>24 June 2026</w:t>
            </w:r>
          </w:p>
        </w:tc>
      </w:tr>
      <w:tr>
        <w:tc>
          <w:tcPr>
            <w:tcW w:type="dxa" w:w="2570"/>
          </w:tcPr>
          <w:p>
            <w:pPr>
              <w:spacing w:after="0"/>
            </w:pPr>
            <w:r>
              <w:rPr>
                <w:rFonts w:ascii="Arial" w:hAnsi="Arial"/>
                <w:b/>
                <w:color w:val="0F2D2E"/>
                <w:sz w:val="16"/>
              </w:rPr>
              <w:t>Market</w:t>
            </w:r>
          </w:p>
        </w:tc>
        <w:tc>
          <w:tcPr>
            <w:tcW w:type="dxa" w:w="2570"/>
          </w:tcPr>
          <w:p>
            <w:pPr>
              <w:spacing w:after="0"/>
            </w:pPr>
            <w:r>
              <w:rPr>
                <w:rFonts w:ascii="Arial" w:hAnsi="Arial"/>
                <w:sz w:val="16"/>
              </w:rPr>
              <w:t>Global English</w:t>
            </w:r>
          </w:p>
        </w:tc>
        <w:tc>
          <w:tcPr>
            <w:tcW w:type="dxa" w:w="2570"/>
          </w:tcPr>
          <w:p>
            <w:pPr>
              <w:spacing w:after="0"/>
            </w:pPr>
            <w:r>
              <w:rPr>
                <w:rFonts w:ascii="Arial" w:hAnsi="Arial"/>
                <w:b/>
                <w:color w:val="0F2D2E"/>
                <w:sz w:val="16"/>
              </w:rPr>
              <w:t>Placement</w:t>
            </w:r>
          </w:p>
        </w:tc>
        <w:tc>
          <w:tcPr>
            <w:tcW w:type="dxa" w:w="2570"/>
          </w:tcPr>
          <w:p>
            <w:pPr>
              <w:spacing w:after="0"/>
            </w:pPr>
            <w:r>
              <w:rPr>
                <w:rFonts w:ascii="Arial" w:hAnsi="Arial"/>
                <w:sz w:val="16"/>
              </w:rPr>
              <w:t>LinkedIn sponsored single image</w:t>
            </w:r>
          </w:p>
        </w:tc>
      </w:tr>
      <w:tr>
        <w:tc>
          <w:tcPr>
            <w:tcW w:type="dxa" w:w="2570"/>
          </w:tcPr>
          <w:p>
            <w:pPr>
              <w:spacing w:after="0"/>
            </w:pPr>
            <w:r>
              <w:rPr>
                <w:rFonts w:ascii="Arial" w:hAnsi="Arial"/>
                <w:b/>
                <w:color w:val="0F2D2E"/>
                <w:sz w:val="16"/>
              </w:rPr>
              <w:t>Creative freeze</w:t>
            </w:r>
          </w:p>
        </w:tc>
        <w:tc>
          <w:tcPr>
            <w:tcW w:type="dxa" w:w="2570"/>
          </w:tcPr>
          <w:p>
            <w:pPr>
              <w:spacing w:after="0"/>
            </w:pPr>
            <w:r>
              <w:rPr>
                <w:rFonts w:ascii="Arial" w:hAnsi="Arial"/>
                <w:sz w:val="16"/>
              </w:rPr>
              <w:t>23 June 2026, 17:00 UTC</w:t>
            </w:r>
          </w:p>
        </w:tc>
        <w:tc>
          <w:tcPr>
            <w:tcW w:type="dxa" w:w="2570"/>
          </w:tcPr>
          <w:p>
            <w:pPr>
              <w:spacing w:after="0"/>
            </w:pPr>
            <w:r>
              <w:rPr>
                <w:rFonts w:ascii="Arial" w:hAnsi="Arial"/>
                <w:b/>
                <w:color w:val="0F2D2E"/>
                <w:sz w:val="16"/>
              </w:rPr>
              <w:t>Output</w:t>
            </w:r>
          </w:p>
        </w:tc>
        <w:tc>
          <w:tcPr>
            <w:tcW w:type="dxa" w:w="2570"/>
          </w:tcPr>
          <w:p>
            <w:r>
              <w:t>One finished 1200 × 627 PNG using the selected layout lock</w:t>
            </w:r>
          </w:p>
        </w:tc>
      </w:tr>
    </w:tbl>
    <w:p>
      <w:pPr>
        <w:pStyle w:val="Heading1"/>
      </w:pPr>
      <w:r>
        <w:t>1. Deliverable</w:t>
      </w:r>
    </w:p>
    <w:p>
      <w:r>
        <w:t>Create one finished horizontal product-launch image for the active LinkedIn paid single-image profile on the go-live date. The final should feel calm, focused, current, and product-led. Submit the image only; do not include a rationale, rule summary, asset IDs, approval notes, or alternative concepts.</w:t>
      </w:r>
    </w:p>
    <w:p>
      <w:pPr>
        <w:pStyle w:val="Heading1"/>
      </w:pPr>
      <w:r>
        <w:t>2. Decision order</w:t>
      </w:r>
    </w:p>
    <w:p>
      <w:pPr>
        <w:ind w:left="259" w:hanging="202"/>
      </w:pPr>
      <w:r>
        <w:t>• Confirm the campaign code, freeze time, market, and placement in Decision Notes.</w:t>
      </w:r>
    </w:p>
    <w:p>
      <w:pPr>
        <w:ind w:left="259" w:hanging="202"/>
      </w:pPr>
      <w:r>
        <w:t>• Resolve the platform profile from Placement Profiles and Spec Revision Log. Then resolve the campaign layout from Layout Profiles and Layout Revision Log. For both, only the latest status at or before the creative freeze counts, and launch day must fall inside the effective window.</w:t>
      </w:r>
    </w:p>
    <w:p>
      <w:pPr>
        <w:ind w:left="259" w:hanging="202"/>
      </w:pPr>
      <w:r>
        <w:t>• Resolve the copy from Copy Options and Copy Approval Log using the same freeze rule. Use the complete approved copy set without paraphrasing.</w:t>
      </w:r>
    </w:p>
    <w:p>
      <w:pPr/>
      <w:r>
        <w:t>• After the base copy is resolved, select the unique launch message package from Launch Message Packages and Message Package Log. Match campaign, profile, market, placement, language, and base_copy_id; use the latest Active decision at or before the creative freeze; ignore later events. The selected package overrides the base-copy CTA and release line and adds the audience line, offer line, proof line, landing path, and qualifier.</w:t>
      </w:r>
    </w:p>
    <w:p>
      <w:pPr>
        <w:ind w:left="259" w:hanging="202"/>
      </w:pPr>
      <w:r>
        <w:t>• Resolve each visual asset independently from all relevant sheets in Creative_Asset_Register.xlsx. Approval alone is not enough.</w:t>
      </w:r>
    </w:p>
    <w:p>
      <w:pPr>
        <w:pStyle w:val="Heading1"/>
      </w:pPr>
      <w:r>
        <w:t>3. Creative direction</w:t>
      </w:r>
    </w:p>
    <w:p>
      <w:pPr>
        <w:ind w:left="259" w:hanging="202"/>
      </w:pPr>
      <w:r>
        <w:t>• Product first: use the selected layout profile exactly. The copy, logo, hero, proof chip, and CTA each have a reserved rectangle and may not enter another component's rectangle.</w:t>
      </w:r>
    </w:p>
    <w:p>
      <w:pPr>
        <w:ind w:left="259" w:hanging="202"/>
      </w:pPr>
      <w:r>
        <w:t>• The approved headline break is locked by the selected layout profile. Keep the complete headline inside the left copy rectangle; no headline character may cross into the hero rectangle.</w:t>
      </w:r>
    </w:p>
    <w:p>
      <w:pPr>
        <w:ind w:left="259" w:hanging="202"/>
      </w:pPr>
      <w:r>
        <w:t>• Keep MON through FRI, the amber THIS WEEK cue, the highlighted WED lane, and the selected Launch checklist card visible. Do not place the separate logo or any other element over the hero header.</w:t>
      </w:r>
    </w:p>
    <w:p>
      <w:pPr>
        <w:ind w:left="259" w:hanging="202"/>
      </w:pPr>
      <w:r>
        <w:t>• Use the separate campaign wordmark only in the reserved logo rectangle above the hero. Branding embedded inside the product interface does not count.</w:t>
      </w:r>
    </w:p>
    <w:p>
      <w:pPr>
        <w:ind w:left="259" w:hanging="202"/>
      </w:pPr>
      <w:r>
        <w:t>• Assemble the final campaign message exactly from the approved base copy plus the selected launch message package. Include product name, headline, support line, audience line, offer line, release line, proof chip, CTA, landing path, and qualifier. Do not keep superseded CTA, release, or proof wording from the base-copy row when the package overrides it.</w:t>
      </w:r>
    </w:p>
    <w:p>
      <w:pPr>
        <w:ind w:left="259" w:hanging="202"/>
      </w:pPr>
      <w:r>
        <w:t>• Keep the background quiet and free of review labels or unrelated campaign treatments.</w:t>
      </w:r>
    </w:p>
    <w:p>
      <w:pPr>
        <w:pStyle w:val="Heading1"/>
        <w:pageBreakBefore/>
      </w:pPr>
      <w:r>
        <w:t>4. Asset selection</w:t>
      </w:r>
    </w:p>
    <w:p>
      <w:r>
        <w:t>The library contains 281 neutral file names, earlier approvals, localized variants, late revisions, expired rights, and files cleared for other channels. Do not infer suitability from file name, folder order, visual similarity, or a single Approved record. The proof-chip asset must match the selected message package and pass the same approval, usage, rights, and release checks as the other asset roles.</w:t>
      </w:r>
    </w:p>
    <w:tbl>
      <w:tblPr>
        <w:tblStyle w:val="TableGrid"/>
        <w:tblW w:type="auto" w:w="0"/>
        <w:jc w:val="center"/>
        <w:tblLook w:firstColumn="1" w:firstRow="1" w:lastColumn="0" w:lastRow="0" w:noHBand="0" w:noVBand="1" w:val="04A0"/>
      </w:tblPr>
      <w:tblGrid>
        <w:gridCol w:w="5141"/>
        <w:gridCol w:w="5141"/>
      </w:tblGrid>
      <w:tr>
        <w:tc>
          <w:tcPr>
            <w:tcW w:type="dxa" w:w="5141"/>
            <w:shd w:fill="0F2D2E"/>
          </w:tcPr>
          <w:p>
            <w:pPr>
              <w:spacing w:after="0"/>
            </w:pPr>
            <w:r>
              <w:rPr>
                <w:rFonts w:ascii="Arial" w:hAnsi="Arial"/>
                <w:b/>
                <w:color w:val="FFFFFF"/>
                <w:sz w:val="15"/>
              </w:rPr>
              <w:t>Check</w:t>
            </w:r>
          </w:p>
        </w:tc>
        <w:tc>
          <w:tcPr>
            <w:tcW w:type="dxa" w:w="5141"/>
            <w:shd w:fill="0F2D2E"/>
          </w:tcPr>
          <w:p>
            <w:pPr>
              <w:spacing w:after="0"/>
            </w:pPr>
            <w:r>
              <w:rPr>
                <w:rFonts w:ascii="Arial" w:hAnsi="Arial"/>
                <w:b/>
                <w:color w:val="FFFFFF"/>
                <w:sz w:val="15"/>
              </w:rPr>
              <w:t>Required result</w:t>
            </w:r>
          </w:p>
        </w:tc>
      </w:tr>
      <w:tr>
        <w:tc>
          <w:tcPr>
            <w:tcW w:type="dxa" w:w="5141"/>
          </w:tcPr>
          <w:p>
            <w:pPr>
              <w:spacing w:after="0"/>
            </w:pPr>
            <w:r>
              <w:rPr>
                <w:rFonts w:ascii="Arial" w:hAnsi="Arial"/>
                <w:sz w:val="15"/>
              </w:rPr>
              <w:t>Approval history</w:t>
            </w:r>
          </w:p>
        </w:tc>
        <w:tc>
          <w:tcPr>
            <w:tcW w:type="dxa" w:w="5141"/>
          </w:tcPr>
          <w:p>
            <w:pPr>
              <w:spacing w:after="0"/>
            </w:pPr>
            <w:r>
              <w:rPr>
                <w:rFonts w:ascii="Arial" w:hAnsi="Arial"/>
                <w:sz w:val="15"/>
              </w:rPr>
              <w:t>Latest event at or before 23 June 2026, 17:00 UTC.</w:t>
            </w:r>
          </w:p>
        </w:tc>
      </w:tr>
      <w:tr>
        <w:tc>
          <w:tcPr>
            <w:tcW w:type="dxa" w:w="5141"/>
          </w:tcPr>
          <w:p>
            <w:pPr>
              <w:spacing w:after="0"/>
            </w:pPr>
            <w:r>
              <w:rPr>
                <w:rFonts w:ascii="Arial" w:hAnsi="Arial"/>
                <w:sz w:val="15"/>
              </w:rPr>
              <w:t>Usage</w:t>
            </w:r>
          </w:p>
        </w:tc>
        <w:tc>
          <w:tcPr>
            <w:tcW w:type="dxa" w:w="5141"/>
          </w:tcPr>
          <w:p>
            <w:pPr>
              <w:spacing w:after="0"/>
            </w:pPr>
            <w:r>
              <w:rPr>
                <w:rFonts w:ascii="Arial" w:hAnsi="Arial"/>
                <w:sz w:val="15"/>
              </w:rPr>
              <w:t>SPRINT-JUNE-2026, GLOBAL-EN, LinkedIn sponsored single image, correct role.</w:t>
            </w:r>
          </w:p>
        </w:tc>
      </w:tr>
      <w:tr>
        <w:tc>
          <w:tcPr>
            <w:tcW w:type="dxa" w:w="5141"/>
          </w:tcPr>
          <w:p>
            <w:pPr>
              <w:spacing w:after="0"/>
            </w:pPr>
            <w:r>
              <w:rPr>
                <w:rFonts w:ascii="Arial" w:hAnsi="Arial"/>
                <w:sz w:val="15"/>
              </w:rPr>
              <w:t>Validity</w:t>
            </w:r>
          </w:p>
        </w:tc>
        <w:tc>
          <w:tcPr>
            <w:tcW w:type="dxa" w:w="5141"/>
          </w:tcPr>
          <w:p>
            <w:pPr>
              <w:spacing w:after="0"/>
            </w:pPr>
            <w:r>
              <w:rPr>
                <w:rFonts w:ascii="Arial" w:hAnsi="Arial"/>
                <w:sz w:val="15"/>
              </w:rPr>
              <w:t>Launch day is inside the inclusive usage window.</w:t>
            </w:r>
          </w:p>
        </w:tc>
      </w:tr>
      <w:tr>
        <w:tc>
          <w:tcPr>
            <w:tcW w:type="dxa" w:w="5141"/>
          </w:tcPr>
          <w:p>
            <w:pPr>
              <w:spacing w:after="0"/>
            </w:pPr>
            <w:r>
              <w:rPr>
                <w:rFonts w:ascii="Arial" w:hAnsi="Arial"/>
                <w:sz w:val="15"/>
              </w:rPr>
              <w:t>Rights</w:t>
            </w:r>
          </w:p>
        </w:tc>
        <w:tc>
          <w:tcPr>
            <w:tcW w:type="dxa" w:w="5141"/>
          </w:tcPr>
          <w:p>
            <w:pPr>
              <w:spacing w:after="0"/>
            </w:pPr>
            <w:r>
              <w:rPr>
                <w:rFonts w:ascii="Arial" w:hAnsi="Arial"/>
                <w:sz w:val="15"/>
              </w:rPr>
              <w:t>Paid social allowed, global territory, rights active on launch day.</w:t>
            </w:r>
          </w:p>
        </w:tc>
      </w:tr>
      <w:tr>
        <w:tc>
          <w:tcPr>
            <w:tcW w:type="dxa" w:w="5141"/>
          </w:tcPr>
          <w:p>
            <w:pPr>
              <w:spacing w:after="0"/>
            </w:pPr>
            <w:r>
              <w:rPr>
                <w:rFonts w:ascii="Arial" w:hAnsi="Arial"/>
                <w:sz w:val="15"/>
              </w:rPr>
              <w:t>Version</w:t>
            </w:r>
          </w:p>
        </w:tc>
        <w:tc>
          <w:tcPr>
            <w:tcW w:type="dxa" w:w="5141"/>
          </w:tcPr>
          <w:p>
            <w:pPr>
              <w:spacing w:after="0"/>
            </w:pPr>
            <w:r>
              <w:rPr>
                <w:rFonts w:ascii="Arial" w:hAnsi="Arial"/>
                <w:sz w:val="15"/>
              </w:rPr>
              <w:t>Released before freeze and not withdrawn before launch.</w:t>
            </w:r>
          </w:p>
        </w:tc>
      </w:tr>
      <w:tr>
        <w:tc>
          <w:tcPr>
            <w:tcW w:type="dxa" w:w="5141"/>
          </w:tcPr>
          <w:p>
            <w:pPr>
              <w:spacing w:after="0"/>
            </w:pPr>
            <w:r>
              <w:rPr>
                <w:rFonts w:ascii="Arial" w:hAnsi="Arial"/>
                <w:sz w:val="15"/>
              </w:rPr>
              <w:t>Visual fit</w:t>
            </w:r>
          </w:p>
        </w:tc>
        <w:tc>
          <w:tcPr>
            <w:tcW w:type="dxa" w:w="5141"/>
          </w:tcPr>
          <w:p>
            <w:pPr>
              <w:spacing w:after="0"/>
            </w:pPr>
            <w:r>
              <w:rPr>
                <w:rFonts w:ascii="Arial" w:hAnsi="Arial"/>
                <w:sz w:val="15"/>
              </w:rPr>
              <w:t>Visible treatment follows the guide and crop rules.</w:t>
            </w:r>
          </w:p>
        </w:tc>
      </w:tr>
      <w:tr>
        <w:tc>
          <w:tcPr>
            <w:tcW w:type="dxa" w:w="5141"/>
          </w:tcPr>
          <w:p>
            <w:r>
              <w:t>Layout</w:t>
            </w:r>
          </w:p>
        </w:tc>
        <w:tc>
          <w:tcPr>
            <w:tcW w:type="dxa" w:w="5141"/>
          </w:tcPr>
          <w:p>
            <w:r>
              <w:t>Latest Active layout revision at or before freeze; matching campaign, profile, market and placement; launch day inside the effective window.</w:t>
            </w:r>
          </w:p>
        </w:tc>
      </w:tr>
    </w:tbl>
    <w:p>
      <w:pPr>
        <w:pStyle w:val="Heading1"/>
      </w:pPr>
      <w:r>
        <w:t>5. Review checklist</w:t>
      </w:r>
    </w:p>
    <w:p>
      <w:pPr>
        <w:spacing w:after="30"/>
      </w:pPr>
      <w:r>
        <w:t>☐ Platform profile and campaign layout are both the latest valid pre-freeze records.</w:t>
      </w:r>
    </w:p>
    <w:p>
      <w:pPr>
        <w:spacing w:after="30"/>
      </w:pPr>
      <w:r>
        <w:t>☐ Canvas, safe area, reserved rectangles, and the locked headline break match the selected layout profile.</w:t>
      </w:r>
    </w:p>
    <w:p>
      <w:pPr>
        <w:spacing w:after="30"/>
      </w:pPr>
      <w:r>
        <w:t>☐ Complete approved copy is exact and readable; no text crosses into another reserved rectangle.</w:t>
      </w:r>
    </w:p>
    <w:p>
      <w:pPr/>
      <w:r>
        <w:t>☐ Audience, offer, release, proof, CTA, landing path, and qualifier all use the selected package values; no superseded package wording remains.</w:t>
      </w:r>
    </w:p>
    <w:p>
      <w:pPr/>
      <w:r>
        <w:t>☐ The selected launch message package is the latest valid pre-freeze record and matches the resolved campaign, profile, market, placement, language, and base copy.</w:t>
      </w:r>
    </w:p>
    <w:p>
      <w:pPr>
        <w:spacing w:after="30"/>
      </w:pPr>
      <w:r>
        <w:t>☐ Logo is separate, current, inside its reserved rectangle, and does not cover the hero.</w:t>
      </w:r>
    </w:p>
    <w:p>
      <w:pPr>
        <w:spacing w:after="30"/>
      </w:pPr>
      <w:r>
        <w:t>☐ Hero shows MON-FRI, THIS WEEK, highlighted WED, Launch checklist, and no overlaid campaign element.</w:t>
      </w:r>
    </w:p>
    <w:p>
      <w:pPr>
        <w:spacing w:after="30"/>
      </w:pPr>
      <w:r>
        <w:t>☐ CTA is a filled amber pill with dark-green text fully contained inside the button.</w:t>
      </w:r>
    </w:p>
    <w:p>
      <w:pPr>
        <w:spacing w:after="30"/>
      </w:pPr>
      <w:r>
        <w:t>☐ Required proof chip is present, exact, and smaller than the CTA.</w:t>
      </w:r>
    </w:p>
    <w:p>
      <w:pPr>
        <w:spacing w:after="30"/>
      </w:pPr>
      <w:r>
        <w:t>☐ No cropped source fragments, partial labels, duplicated branding, hidden weekdays, or stray text remain.</w:t>
      </w:r>
    </w:p>
    <w:p>
      <w:pPr>
        <w:pStyle w:val="Heading1"/>
      </w:pPr>
      <w:r>
        <w:t>6. Content to avoid</w:t>
      </w:r>
    </w:p>
    <w:p>
      <w:r>
        <w:t>Do not use old automation slogans, AI-replacement language, unsupported performance claims, localized boards, post-freeze approvals, scheduled identity concepts, editorial photography as the hero, plain-text CTAs, or alternate campaign backgrounds.</w:t>
      </w:r>
    </w:p>
    <w:p>
      <w:pPr>
        <w:jc w:val="right"/>
      </w:pPr>
      <w:r>
        <w:t>Approved by Product Marketing · 23 June 2026</w:t>
      </w:r>
    </w:p>
    <w:sectPr w:rsidR="00FC693F" w:rsidRPr="0006063C" w:rsidSect="00034616">
      <w:pgSz w:w="12240" w:h="15840"/>
      <w:pgMar w:top="720" w:right="979" w:bottom="720"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0F2D2E"/>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2D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