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 STUDIO DAY</w:t>
      </w:r>
    </w:p>
    <w:p>
      <w:pPr>
        <w:jc w:val="left"/>
      </w:pPr>
      <w:r>
        <w:rPr>
          <w:b/>
          <w:color w:val="EC6E2C"/>
          <w:sz w:val="26"/>
        </w:rPr>
        <w:t>Paid Social Creative Brief  |  v5.0 approved</w:t>
      </w:r>
    </w:p>
    <w:p>
      <w:r>
        <w:rPr>
          <w:color w:val="465866"/>
        </w:rPr>
        <w:t>Issued June 26, 2026 • Admissions Creative</w:t>
      </w:r>
    </w:p>
    <w:p>
      <w:r>
        <w:t>This brief replaces v4.1-v4.4 for the July 1 paid Story delivery. Use the locked copy below and the asset decision records in the environment; filenames are not approval evidence.</w:t>
      </w:r>
    </w:p>
    <w:p>
      <w:pPr>
        <w:pStyle w:val="Heading1"/>
      </w:pPr>
      <w:r>
        <w:t>1. Delivery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Go-live</w:t>
            </w:r>
          </w:p>
        </w:tc>
        <w:tc>
          <w:tcPr>
            <w:tcW w:type="dxa" w:w="5184"/>
            <w:vAlign w:val="center"/>
          </w:tcPr>
          <w:p>
            <w:r>
              <w:t>July 1, 2026 at 9:00 AM PT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Creative freeze</w:t>
            </w:r>
          </w:p>
        </w:tc>
        <w:tc>
          <w:tcPr>
            <w:tcW w:type="dxa" w:w="5184"/>
            <w:vAlign w:val="center"/>
          </w:tcPr>
          <w:p>
            <w:r>
              <w:t>June 29, 2026 at 5:00 PM PT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Campaign code</w:t>
            </w:r>
          </w:p>
        </w:tc>
        <w:tc>
          <w:tcPr>
            <w:tcW w:type="dxa" w:w="5184"/>
            <w:vAlign w:val="center"/>
          </w:tcPr>
          <w:p>
            <w:r>
              <w:t>OSD26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Placement code</w:t>
            </w:r>
          </w:p>
        </w:tc>
        <w:tc>
          <w:tcPr>
            <w:tcW w:type="dxa" w:w="5184"/>
            <w:vAlign w:val="center"/>
          </w:tcPr>
          <w:p>
            <w:r>
              <w:t>IG-STORY-PAID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Market</w:t>
            </w:r>
          </w:p>
        </w:tc>
        <w:tc>
          <w:tcPr>
            <w:tcW w:type="dxa" w:w="5184"/>
            <w:vAlign w:val="center"/>
          </w:tcPr>
          <w:p>
            <w:r>
              <w:t>US-EN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5184"/>
            <w:vAlign w:val="center"/>
          </w:tcPr>
          <w:p>
            <w:r>
              <w:t>Prospective design students and families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5184"/>
            <w:vAlign w:val="center"/>
          </w:tcPr>
          <w:p>
            <w:r>
              <w:t>One finished 1080 × 1920 PNG</w:t>
            </w:r>
          </w:p>
        </w:tc>
      </w:tr>
    </w:tbl>
    <w:p>
      <w:pPr>
        <w:pStyle w:val="Heading1"/>
      </w:pPr>
      <w:r>
        <w:t>2. Locked event copy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Event title</w:t>
            </w:r>
          </w:p>
        </w:tc>
        <w:tc>
          <w:tcPr>
            <w:tcW w:type="dxa" w:w="5184"/>
          </w:tcPr>
          <w:p>
            <w:r>
              <w:t>Open Studio Day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School</w:t>
            </w:r>
          </w:p>
        </w:tc>
        <w:tc>
          <w:tcPr>
            <w:tcW w:type="dxa" w:w="5184"/>
          </w:tcPr>
          <w:p>
            <w:r>
              <w:t>Northstar Design School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Date and time</w:t>
            </w:r>
          </w:p>
        </w:tc>
        <w:tc>
          <w:tcPr>
            <w:tcW w:type="dxa" w:w="5184"/>
          </w:tcPr>
          <w:p>
            <w:r>
              <w:t>July 12 • 10 AM-2 PM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5184"/>
          </w:tcPr>
          <w:p>
            <w:r>
              <w:t>88 Beacon Ave • Studio Hall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CTA</w:t>
            </w:r>
          </w:p>
        </w:tc>
        <w:tc>
          <w:tcPr>
            <w:tcW w:type="dxa" w:w="5184"/>
          </w:tcPr>
          <w:p>
            <w:r>
              <w:t>RSVP for portfolio tours</w:t>
            </w:r>
          </w:p>
        </w:tc>
      </w:tr>
    </w:tbl>
    <w:p>
      <w:r>
        <w:rPr>
          <w:b/>
        </w:rPr>
        <w:t xml:space="preserve">Copy lock: </w:t>
      </w:r>
      <w:r>
        <w:t>All five items must be readable in the final Story. The event title is the primary message. The CTA wording may not be replaced with a generic admissions action.</w:t>
      </w:r>
    </w:p>
    <w:p>
      <w:r>
        <w:br w:type="page"/>
      </w:r>
    </w:p>
    <w:p>
      <w:pPr>
        <w:pStyle w:val="Heading1"/>
      </w:pPr>
      <w:r>
        <w:t>3. Asset decision rule</w:t>
      </w:r>
    </w:p>
    <w:p>
      <w:r>
        <w:t>Required roles: one logo, one hero, and one background. A supporting badge is optional. Resolve each role from Creative_Asset_Register.xlsx using all applicable sheets, not the filename or visual_note alone.</w:t>
      </w:r>
    </w:p>
    <w:p>
      <w:pPr>
        <w:pStyle w:val="ListBullet"/>
      </w:pPr>
      <w:r>
        <w:rPr>
          <w:b/>
        </w:rPr>
        <w:t xml:space="preserve">Approval timing: </w:t>
      </w:r>
      <w:r>
        <w:t>For each asset, use the most recent Approval History record whose decision_at is on or before the creative freeze. A record added after the freeze does not qualify for this delivery.</w:t>
      </w:r>
    </w:p>
    <w:p>
      <w:pPr>
        <w:pStyle w:val="ListBullet"/>
      </w:pPr>
      <w:r>
        <w:rPr>
          <w:b/>
        </w:rPr>
        <w:t xml:space="preserve">Approval window: </w:t>
      </w:r>
      <w:r>
        <w:t>The controlling record must say Approved. July 1 must fall within valid_from and valid_to, inclusively. The asset cannot have been superseded on or before the freeze.</w:t>
      </w:r>
    </w:p>
    <w:p>
      <w:pPr>
        <w:pStyle w:val="ListBullet"/>
      </w:pPr>
      <w:r>
        <w:rPr>
          <w:b/>
        </w:rPr>
        <w:t xml:space="preserve">Usage match: </w:t>
      </w:r>
      <w:r>
        <w:t>Usage Matrix must say Allowed and match OSD26, IG-STORY-PAID, and US-EN. An all-admissions logo is acceptable. A language-neutral background may use GLOBAL-NEUTRAL.</w:t>
      </w:r>
    </w:p>
    <w:p>
      <w:pPr>
        <w:pStyle w:val="ListBullet"/>
      </w:pPr>
      <w:r>
        <w:rPr>
          <w:b/>
        </w:rPr>
        <w:t xml:space="preserve">Rights: </w:t>
      </w:r>
      <w:r>
        <w:t>Rights Register must say Cleared, paid_social_allowed must be Yes, and the rights window must include July 1.</w:t>
      </w:r>
    </w:p>
    <w:p>
      <w:pPr>
        <w:pStyle w:val="ListBullet"/>
      </w:pPr>
      <w:r>
        <w:rPr>
          <w:b/>
        </w:rPr>
        <w:t xml:space="preserve">Version state: </w:t>
      </w:r>
      <w:r>
        <w:t>Version Control must say Published, published_at must be on or before the freeze, and withdrawn_at must be blank or later than the freeze.</w:t>
      </w:r>
    </w:p>
    <w:p>
      <w:pPr>
        <w:pStyle w:val="ListBullet"/>
      </w:pPr>
      <w:r>
        <w:rPr>
          <w:b/>
        </w:rPr>
        <w:t xml:space="preserve">File handling: </w:t>
      </w:r>
      <w:r>
        <w:t>Place the selected library files as supplied. Do not redraw, recolor, stretch, or substitute a generic image. Crop only where the brand guide permits.</w:t>
      </w:r>
    </w:p>
    <w:p>
      <w:pPr>
        <w:pStyle w:val="Heading1"/>
      </w:pPr>
      <w:r>
        <w:t>4. Placement profile</w:t>
      </w:r>
    </w:p>
    <w:p>
      <w:r>
        <w:t>Resolve the active profile in Paid_Social_Specs.xlsx using the same delivery context and freeze. A valid profile must match Instagram, Story event ad, Paid, US-EN, be active at the freeze, and cover July 1. Use its canvas, safe areas, and placement zones.</w:t>
      </w:r>
    </w:p>
    <w:p>
      <w:r>
        <w:rPr>
          <w:b/>
        </w:rPr>
        <w:t xml:space="preserve">Do not average or combine profiles. </w:t>
      </w:r>
      <w:r>
        <w:t>Profiles for Reels, organic Story, feed, other markets, previous revisions, and July 2 changes remain in the workbook for other jobs.</w:t>
      </w:r>
    </w:p>
    <w:p>
      <w:r>
        <w:br w:type="page"/>
      </w:r>
    </w:p>
    <w:p>
      <w:pPr>
        <w:pStyle w:val="Heading1"/>
      </w:pPr>
      <w:r>
        <w:t>5. Creative direction</w:t>
      </w:r>
    </w:p>
    <w:p>
      <w:pPr>
        <w:pStyle w:val="ListBullet"/>
      </w:pPr>
      <w:r>
        <w:t>Keep the horizontal Northstar identity in the approved upper-left logo zone with clear space.</w:t>
      </w:r>
    </w:p>
    <w:p>
      <w:pPr>
        <w:pStyle w:val="ListBullet"/>
      </w:pPr>
      <w:r>
        <w:t>Use the title in no more than two lines. Event details should read as a compact block, not a paragraph.</w:t>
      </w:r>
    </w:p>
    <w:p>
      <w:pPr>
        <w:pStyle w:val="ListBullet"/>
      </w:pPr>
      <w:r>
        <w:t>Use the selected hero as the main visual and retain its identifying campaign labels; do not crop away the second photo section or footer cue.</w:t>
      </w:r>
    </w:p>
    <w:p>
      <w:pPr>
        <w:pStyle w:val="ListBullet"/>
      </w:pPr>
      <w:r>
        <w:t>Use the selected background full bleed. Do not flatten it into a plain cream or navy field.</w:t>
      </w:r>
    </w:p>
    <w:p>
      <w:pPr>
        <w:pStyle w:val="ListBullet"/>
      </w:pPr>
      <w:r>
        <w:t>Place the CTA in the active lower-third zone and keep it above the bottom interface-safe area.</w:t>
      </w:r>
    </w:p>
    <w:p>
      <w:pPr>
        <w:pStyle w:val="ListBullet"/>
      </w:pPr>
      <w:r>
        <w:t>When copy crosses photography, use a navy overlay or a solid cream panel. All required copy must remain comfortably readable at phone size.</w:t>
      </w:r>
    </w:p>
    <w:p>
      <w:pPr>
        <w:pStyle w:val="ListBullet"/>
      </w:pPr>
      <w:r>
        <w:t>Do not add extra prices, scholarship claims, employment promises, application deadlines, QR codes, or unrelated badges.</w:t>
      </w:r>
    </w:p>
    <w:p>
      <w:pPr>
        <w:pStyle w:val="Heading1"/>
      </w:pPr>
      <w:r>
        <w:t>6. Copy and concept notes not carried forward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Earlier note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Old wording</w:t>
            </w:r>
          </w:p>
        </w:tc>
        <w:tc>
          <w:tcPr>
            <w:tcW w:type="dxa" w:w="345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</w:tcPr>
          <w:p>
            <w:r>
              <w:t>v4.1 event line</w:t>
            </w:r>
          </w:p>
        </w:tc>
        <w:tc>
          <w:tcPr>
            <w:tcW w:type="dxa" w:w="3456"/>
          </w:tcPr>
          <w:p>
            <w:r>
              <w:t>June 8</w:t>
            </w:r>
          </w:p>
        </w:tc>
        <w:tc>
          <w:tcPr>
            <w:tcW w:type="dxa" w:w="3456"/>
          </w:tcPr>
          <w:p>
            <w:r>
              <w:t>Do not use</w:t>
            </w:r>
          </w:p>
        </w:tc>
      </w:tr>
      <w:tr>
        <w:tc>
          <w:tcPr>
            <w:tcW w:type="dxa" w:w="3456"/>
          </w:tcPr>
          <w:p>
            <w:r>
              <w:t>v4.2 location exploration</w:t>
            </w:r>
          </w:p>
        </w:tc>
        <w:tc>
          <w:tcPr>
            <w:tcW w:type="dxa" w:w="3456"/>
          </w:tcPr>
          <w:p>
            <w:r>
              <w:t>Northstar Arts Annex</w:t>
            </w:r>
          </w:p>
        </w:tc>
        <w:tc>
          <w:tcPr>
            <w:tcW w:type="dxa" w:w="3456"/>
          </w:tcPr>
          <w:p>
            <w:r>
              <w:t>Do not use</w:t>
            </w:r>
          </w:p>
        </w:tc>
      </w:tr>
      <w:tr>
        <w:tc>
          <w:tcPr>
            <w:tcW w:type="dxa" w:w="3456"/>
          </w:tcPr>
          <w:p>
            <w:r>
              <w:t>v4.3 CTA exploration</w:t>
            </w:r>
          </w:p>
        </w:tc>
        <w:tc>
          <w:tcPr>
            <w:tcW w:type="dxa" w:w="3456"/>
          </w:tcPr>
          <w:p>
            <w:r>
              <w:t>Apply Now</w:t>
            </w:r>
          </w:p>
        </w:tc>
        <w:tc>
          <w:tcPr>
            <w:tcW w:type="dxa" w:w="3456"/>
          </w:tcPr>
          <w:p>
            <w:r>
              <w:t>Do not use</w:t>
            </w:r>
          </w:p>
        </w:tc>
      </w:tr>
      <w:tr>
        <w:tc>
          <w:tcPr>
            <w:tcW w:type="dxa" w:w="3456"/>
          </w:tcPr>
          <w:p>
            <w:r>
              <w:t>Legacy admissions concept</w:t>
            </w:r>
          </w:p>
        </w:tc>
        <w:tc>
          <w:tcPr>
            <w:tcW w:type="dxa" w:w="3456"/>
          </w:tcPr>
          <w:p>
            <w:r>
              <w:t>50% tuition scholarship</w:t>
            </w:r>
          </w:p>
        </w:tc>
        <w:tc>
          <w:tcPr>
            <w:tcW w:type="dxa" w:w="3456"/>
          </w:tcPr>
          <w:p>
            <w:r>
              <w:t>Do not use</w:t>
            </w:r>
          </w:p>
        </w:tc>
      </w:tr>
      <w:tr>
        <w:tc>
          <w:tcPr>
            <w:tcW w:type="dxa" w:w="3456"/>
          </w:tcPr>
          <w:p>
            <w:r>
              <w:t>Recruiting draft</w:t>
            </w:r>
          </w:p>
        </w:tc>
        <w:tc>
          <w:tcPr>
            <w:tcW w:type="dxa" w:w="3456"/>
          </w:tcPr>
          <w:p>
            <w:r>
              <w:t>Guaranteed employment</w:t>
            </w:r>
          </w:p>
        </w:tc>
        <w:tc>
          <w:tcPr>
            <w:tcW w:type="dxa" w:w="3456"/>
          </w:tcPr>
          <w:p>
            <w:r>
              <w:t>Do not use</w:t>
            </w:r>
          </w:p>
        </w:tc>
      </w:tr>
    </w:tbl>
    <w:p/>
    <w:p>
      <w:r>
        <w:rPr>
          <w:b/>
        </w:rPr>
        <w:t xml:space="preserve">Final delivery: </w:t>
      </w:r>
      <w:r>
        <w:t>one complete Story image only. Do not include a source list, rule summary, approval table, or production notes in the artwork.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230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