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LedgerLite Cash Reserve</w:t>
        <w:br/>
        <w:t>Paid Social Creative Brief</w:t>
      </w:r>
    </w:p>
    <w:p>
      <w:pPr>
        <w:spacing w:after="160"/>
      </w:pPr>
      <w:r>
        <w:rPr>
          <w:color w:val="46505F"/>
          <w:sz w:val="18"/>
        </w:rPr>
        <w:t>Campaign version 4.0  |  Base brief issued 2026-08-04  |  Final release freeze 2026-08-14 17:00 UTC  |  Launch 2026-08-18</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2448"/>
            <w:shd w:fill="CFF7E8"/>
            <w:tcMar>
              <w:top w:w="120" w:type="dxa"/>
              <w:start w:w="120" w:type="dxa"/>
              <w:bottom w:w="120" w:type="dxa"/>
              <w:end w:w="120" w:type="dxa"/>
            </w:tcMar>
          </w:tcPr>
          <w:p>
            <w:pPr>
              <w:jc w:val="center"/>
            </w:pPr>
            <w:r>
              <w:rPr>
                <w:b/>
                <w:color w:val="667085"/>
                <w:sz w:val="16"/>
              </w:rPr>
              <w:t>PLACEMENT</w:t>
              <w:br/>
            </w:r>
            <w:r>
              <w:rPr>
                <w:b/>
                <w:color w:val="172033"/>
                <w:sz w:val="20"/>
              </w:rPr>
              <w:t>Mobile Feed 4:5</w:t>
            </w:r>
          </w:p>
        </w:tc>
        <w:tc>
          <w:tcPr>
            <w:tcW w:type="dxa" w:w="2448"/>
            <w:shd w:fill="CFF7E8"/>
            <w:tcMar>
              <w:top w:w="120" w:type="dxa"/>
              <w:start w:w="120" w:type="dxa"/>
              <w:bottom w:w="120" w:type="dxa"/>
              <w:end w:w="120" w:type="dxa"/>
            </w:tcMar>
          </w:tcPr>
          <w:p>
            <w:pPr>
              <w:jc w:val="center"/>
            </w:pPr>
            <w:r>
              <w:rPr>
                <w:b/>
                <w:color w:val="667085"/>
                <w:sz w:val="16"/>
              </w:rPr>
              <w:t>MARKET</w:t>
              <w:br/>
            </w:r>
            <w:r>
              <w:rPr>
                <w:b/>
                <w:color w:val="172033"/>
                <w:sz w:val="20"/>
              </w:rPr>
              <w:t>US-EN</w:t>
            </w:r>
          </w:p>
        </w:tc>
        <w:tc>
          <w:tcPr>
            <w:tcW w:type="dxa" w:w="2448"/>
            <w:shd w:fill="CFF7E8"/>
            <w:tcMar>
              <w:top w:w="120" w:type="dxa"/>
              <w:start w:w="120" w:type="dxa"/>
              <w:bottom w:w="120" w:type="dxa"/>
              <w:end w:w="120" w:type="dxa"/>
            </w:tcMar>
          </w:tcPr>
          <w:p>
            <w:pPr>
              <w:jc w:val="center"/>
            </w:pPr>
            <w:r>
              <w:rPr>
                <w:b/>
                <w:color w:val="667085"/>
                <w:sz w:val="16"/>
              </w:rPr>
              <w:t>PRODUCT</w:t>
              <w:br/>
            </w:r>
            <w:r>
              <w:rPr>
                <w:b/>
                <w:color w:val="172033"/>
                <w:sz w:val="20"/>
              </w:rPr>
              <w:t>Cash Reserve</w:t>
            </w:r>
          </w:p>
        </w:tc>
        <w:tc>
          <w:tcPr>
            <w:tcW w:type="dxa" w:w="2448"/>
            <w:shd w:fill="CFF7E8"/>
            <w:tcMar>
              <w:top w:w="120" w:type="dxa"/>
              <w:start w:w="120" w:type="dxa"/>
              <w:bottom w:w="120" w:type="dxa"/>
              <w:end w:w="120" w:type="dxa"/>
            </w:tcMar>
          </w:tcPr>
          <w:p>
            <w:pPr>
              <w:jc w:val="center"/>
            </w:pPr>
            <w:r>
              <w:rPr>
                <w:b/>
                <w:color w:val="667085"/>
                <w:sz w:val="16"/>
              </w:rPr>
              <w:t>STATUS</w:t>
              <w:br/>
            </w:r>
            <w:r>
              <w:rPr>
                <w:b/>
                <w:color w:val="172033"/>
                <w:sz w:val="20"/>
              </w:rPr>
              <w:t>Ready for production</w:t>
            </w:r>
          </w:p>
        </w:tc>
      </w:tr>
    </w:tbl>
    <w:p>
      <w:pPr>
        <w:pStyle w:val="Heading1"/>
      </w:pPr>
      <w:r>
        <w:t>Creative objective</w:t>
      </w:r>
    </w:p>
    <w:p>
      <w:pPr>
        <w:spacing w:after="160"/>
      </w:pPr>
      <w:r>
        <w:t>Introduce LedgerLite Cash Reserve as a simple way to organize household cash for upcoming bills. The ad should feel useful and calm - not like a bank, investment product, yield offer, or luxury-wealth campaign.</w:t>
      </w:r>
    </w:p>
    <w:p>
      <w:pPr>
        <w:pStyle w:val="Heading1"/>
      </w:pPr>
      <w:r>
        <w:t>Required visible copy</w:t>
      </w:r>
    </w:p>
    <w:tbl>
      <w:tblPr>
        <w:tblStyle w:val="TableGrid"/>
        <w:tblW w:type="auto" w:w="0"/>
        <w:jc w:val="center"/>
        <w:tblLook w:firstColumn="1" w:firstRow="1" w:lastColumn="0" w:lastRow="0" w:noHBand="0" w:noVBand="1" w:val="04A0"/>
      </w:tblPr>
      <w:tblGrid>
        <w:gridCol w:w="5184"/>
        <w:gridCol w:w="5184"/>
      </w:tblGrid>
      <w:tr>
        <w:tc>
          <w:tcPr>
            <w:tcW w:type="dxa" w:w="5184"/>
            <w:shd w:fill="172033"/>
          </w:tcPr>
          <w:p>
            <w:r>
              <w:rPr>
                <w:b/>
                <w:color w:val="FFFFFF"/>
              </w:rPr>
              <w:t>Copy role</w:t>
            </w:r>
          </w:p>
        </w:tc>
        <w:tc>
          <w:tcPr>
            <w:tcW w:type="dxa" w:w="5184"/>
            <w:shd w:fill="172033"/>
          </w:tcPr>
          <w:p>
            <w:r>
              <w:rPr>
                <w:b/>
                <w:color w:val="FFFFFF"/>
              </w:rPr>
              <w:t>Approved wording</w:t>
            </w:r>
          </w:p>
        </w:tc>
      </w:tr>
      <w:tr>
        <w:tc>
          <w:tcPr>
            <w:tcW w:type="dxa" w:w="5184"/>
            <w:tcMar>
              <w:top w:w="120" w:type="dxa"/>
              <w:start w:w="120" w:type="dxa"/>
              <w:bottom w:w="120" w:type="dxa"/>
              <w:end w:w="120" w:type="dxa"/>
            </w:tcMar>
          </w:tcPr>
          <w:p>
            <w:r>
              <w:rPr>
                <w:b/>
              </w:rPr>
              <w:t>Product name</w:t>
            </w:r>
          </w:p>
        </w:tc>
        <w:tc>
          <w:tcPr>
            <w:tcW w:type="dxa" w:w="5184"/>
            <w:tcMar>
              <w:top w:w="120" w:type="dxa"/>
              <w:start w:w="120" w:type="dxa"/>
              <w:bottom w:w="120" w:type="dxa"/>
              <w:end w:w="120" w:type="dxa"/>
            </w:tcMar>
          </w:tcPr>
          <w:p>
            <w:r>
              <w:t>LedgerLite Cash Reserve</w:t>
            </w:r>
          </w:p>
        </w:tc>
      </w:tr>
      <w:tr>
        <w:tc>
          <w:tcPr>
            <w:tcW w:type="dxa" w:w="5184"/>
            <w:tcMar>
              <w:top w:w="120" w:type="dxa"/>
              <w:start w:w="120" w:type="dxa"/>
              <w:bottom w:w="120" w:type="dxa"/>
              <w:end w:w="120" w:type="dxa"/>
            </w:tcMar>
          </w:tcPr>
          <w:p>
            <w:r>
              <w:rPr>
                <w:b/>
              </w:rPr>
              <w:t>Headline</w:t>
            </w:r>
          </w:p>
        </w:tc>
        <w:tc>
          <w:tcPr>
            <w:tcW w:type="dxa" w:w="5184"/>
            <w:tcMar>
              <w:top w:w="120" w:type="dxa"/>
              <w:start w:w="120" w:type="dxa"/>
              <w:bottom w:w="120" w:type="dxa"/>
              <w:end w:w="120" w:type="dxa"/>
            </w:tcMar>
          </w:tcPr>
          <w:p>
            <w:r>
              <w:t>Set aside cash without the spreadsheet.</w:t>
            </w:r>
          </w:p>
        </w:tc>
      </w:tr>
      <w:tr>
        <w:tc>
          <w:tcPr>
            <w:tcW w:type="dxa" w:w="5184"/>
            <w:tcMar>
              <w:top w:w="120" w:type="dxa"/>
              <w:start w:w="120" w:type="dxa"/>
              <w:bottom w:w="120" w:type="dxa"/>
              <w:end w:w="120" w:type="dxa"/>
            </w:tcMar>
          </w:tcPr>
          <w:p>
            <w:r>
              <w:rPr>
                <w:b/>
              </w:rPr>
              <w:t>Supporting line</w:t>
            </w:r>
          </w:p>
        </w:tc>
        <w:tc>
          <w:tcPr>
            <w:tcW w:type="dxa" w:w="5184"/>
            <w:tcMar>
              <w:top w:w="120" w:type="dxa"/>
              <w:start w:w="120" w:type="dxa"/>
              <w:bottom w:w="120" w:type="dxa"/>
              <w:end w:w="120" w:type="dxa"/>
            </w:tcMar>
          </w:tcPr>
          <w:p>
            <w:r>
              <w:t>Buckets, reminders, and balances in one app.</w:t>
            </w:r>
          </w:p>
        </w:tc>
      </w:tr>
      <w:tr>
        <w:tc>
          <w:tcPr>
            <w:tcW w:type="dxa" w:w="5184"/>
            <w:tcMar>
              <w:top w:w="120" w:type="dxa"/>
              <w:start w:w="120" w:type="dxa"/>
              <w:bottom w:w="120" w:type="dxa"/>
              <w:end w:w="120" w:type="dxa"/>
            </w:tcMar>
          </w:tcPr>
          <w:p>
            <w:r>
              <w:rPr>
                <w:b/>
              </w:rPr>
              <w:t>CTA</w:t>
            </w:r>
          </w:p>
        </w:tc>
        <w:tc>
          <w:tcPr>
            <w:tcW w:type="dxa" w:w="5184"/>
            <w:tcMar>
              <w:top w:w="120" w:type="dxa"/>
              <w:start w:w="120" w:type="dxa"/>
              <w:bottom w:w="120" w:type="dxa"/>
              <w:end w:w="120" w:type="dxa"/>
            </w:tcMar>
          </w:tcPr>
          <w:p>
            <w:r>
              <w:t>Join the waitlist</w:t>
            </w:r>
          </w:p>
        </w:tc>
      </w:tr>
      <w:tr>
        <w:tc>
          <w:tcPr>
            <w:tcW w:type="dxa" w:w="5184"/>
            <w:tcMar>
              <w:top w:w="120" w:type="dxa"/>
              <w:start w:w="120" w:type="dxa"/>
              <w:bottom w:w="120" w:type="dxa"/>
              <w:end w:w="120" w:type="dxa"/>
            </w:tcMar>
          </w:tcPr>
          <w:p>
            <w:r>
              <w:rPr>
                <w:b/>
              </w:rPr>
              <w:t>Disclosure</w:t>
            </w:r>
          </w:p>
        </w:tc>
        <w:tc>
          <w:tcPr>
            <w:tcW w:type="dxa" w:w="5184"/>
            <w:tcMar>
              <w:top w:w="120" w:type="dxa"/>
              <w:start w:w="120" w:type="dxa"/>
              <w:bottom w:w="120" w:type="dxa"/>
              <w:end w:w="120" w:type="dxa"/>
            </w:tcMar>
          </w:tcPr>
          <w:p>
            <w:r>
              <w:t>Not a bank. No investment advice.</w:t>
            </w:r>
          </w:p>
        </w:tc>
      </w:tr>
    </w:tbl>
    <w:p>
      <w:pPr>
        <w:pStyle w:val="Heading1"/>
      </w:pPr>
      <w:r>
        <w:t>Asset selection</w:t>
      </w:r>
    </w:p>
    <w:p>
      <w:r>
        <w:t>The shared asset library contains earlier campaigns, regional variants, channel-specific exports, reference images, and files that become active after launch. Use Creative_Asset_Register.xlsx to select:</w:t>
      </w:r>
    </w:p>
    <w:p>
      <w:pPr>
        <w:pStyle w:val="ListBullet"/>
      </w:pPr>
      <w:r>
        <w:t>one approved current logo for Cash Reserve / Mobile Feed 4:5 / US-EN;</w:t>
      </w:r>
    </w:p>
    <w:p>
      <w:pPr>
        <w:pStyle w:val="ListBullet"/>
      </w:pPr>
      <w:r>
        <w:t>one approved current phone interface for the same campaign, placement, and market;</w:t>
      </w:r>
    </w:p>
    <w:p>
      <w:pPr>
        <w:pStyle w:val="ListBullet"/>
      </w:pPr>
      <w:r>
        <w:t>one approved current campaign background;</w:t>
      </w:r>
    </w:p>
    <w:p>
      <w:pPr>
        <w:pStyle w:val="ListBullet"/>
      </w:pPr>
      <w:r>
        <w:t>one approved household-budgeting photo as secondary support;</w:t>
      </w:r>
    </w:p>
    <w:p>
      <w:pPr>
        <w:pStyle w:val="ListBullet"/>
      </w:pPr>
      <w:r>
        <w:t>the current reminder badge only if it helps the composition.</w:t>
      </w:r>
    </w:p>
    <w:p>
      <w:pPr>
        <w:spacing w:after="160"/>
      </w:pPr>
      <w:r>
        <w:t>Before export, confirm that the selected files are approved, active on 2026-08-18, and assigned to Cash Reserve, Mobile Feed 4:5, and US-EN.</w:t>
      </w:r>
    </w:p>
    <w:p>
      <w:r>
        <w:br w:type="page"/>
      </w:r>
    </w:p>
    <w:p>
      <w:pPr>
        <w:pStyle w:val="Heading1"/>
      </w:pPr>
      <w:r>
        <w:t>Layout and platform requirements</w:t>
      </w:r>
    </w:p>
    <w:p>
      <w:pPr>
        <w:pStyle w:val="ListBullet"/>
      </w:pPr>
      <w:r>
        <w:t>Use the current Mobile Feed 4:5 specification active on 2026-08-18.</w:t>
      </w:r>
    </w:p>
    <w:p>
      <w:pPr>
        <w:pStyle w:val="ListBullet"/>
      </w:pPr>
      <w:r>
        <w:t>Keep the logo in the top-left safe area.</w:t>
      </w:r>
    </w:p>
    <w:p>
      <w:pPr>
        <w:pStyle w:val="ListBullet"/>
      </w:pPr>
      <w:r>
        <w:t>Keep the headline in the upper third and no longer than two lines.</w:t>
      </w:r>
    </w:p>
    <w:p>
      <w:pPr>
        <w:pStyle w:val="ListBullet"/>
      </w:pPr>
      <w:r>
        <w:t>Place the phone interface in the middle or center-right.</w:t>
      </w:r>
    </w:p>
    <w:p>
      <w:pPr>
        <w:pStyle w:val="ListBullet"/>
      </w:pPr>
      <w:r>
        <w:t>Use the household photo as secondary context; it must not overpower the product UI.</w:t>
      </w:r>
    </w:p>
    <w:p>
      <w:pPr>
        <w:pStyle w:val="ListBullet"/>
      </w:pPr>
      <w:r>
        <w:t>Place the CTA in the lower third, above the disclosure.</w:t>
      </w:r>
    </w:p>
    <w:p>
      <w:pPr>
        <w:pStyle w:val="ListBullet"/>
      </w:pPr>
      <w:r>
        <w:t>Keep the disclosure in the bottom safe area, high contrast and readable.</w:t>
      </w:r>
    </w:p>
    <w:p>
      <w:pPr>
        <w:pStyle w:val="Heading1"/>
      </w:pPr>
      <w:r>
        <w:t>Compliance guardrails</w:t>
      </w:r>
    </w:p>
    <w:tbl>
      <w:tblPr>
        <w:tblW w:type="auto" w:w="0"/>
        <w:jc w:val="center"/>
        <w:tblLayout w:type="fixed"/>
        <w:tblLook w:firstColumn="1" w:firstRow="1" w:lastColumn="0" w:lastRow="0" w:noHBand="0" w:noVBand="1" w:val="04A0"/>
      </w:tblPr>
      <w:tblGrid>
        <w:gridCol w:w="5184"/>
        <w:gridCol w:w="5184"/>
      </w:tblGrid>
      <w:tr>
        <w:tc>
          <w:tcPr>
            <w:tcW w:type="dxa" w:w="4824"/>
            <w:shd w:fill="E7F7F1"/>
            <w:tcMar>
              <w:top w:w="180" w:type="dxa"/>
              <w:start w:w="180" w:type="dxa"/>
              <w:bottom w:w="180" w:type="dxa"/>
              <w:end w:w="180" w:type="dxa"/>
            </w:tcMar>
          </w:tcPr>
          <w:p>
            <w:r>
              <w:rPr>
                <w:b/>
                <w:color w:val="172033"/>
              </w:rPr>
              <w:t>Required</w:t>
            </w:r>
          </w:p>
          <w:p>
            <w:pPr>
              <w:pStyle w:val="ListBullet"/>
            </w:pPr>
            <w:r>
              <w:t>Exact disclosure wording</w:t>
            </w:r>
          </w:p>
          <w:p>
            <w:pPr>
              <w:pStyle w:val="ListBullet"/>
            </w:pPr>
            <w:r>
              <w:t>Product-organization language</w:t>
            </w:r>
          </w:p>
          <w:p>
            <w:pPr>
              <w:pStyle w:val="ListBullet"/>
            </w:pPr>
            <w:r>
              <w:t>Current approved assets</w:t>
            </w:r>
          </w:p>
          <w:p>
            <w:pPr>
              <w:pStyle w:val="ListBullet"/>
            </w:pPr>
            <w:r>
              <w:t>High-contrast legal line</w:t>
            </w:r>
          </w:p>
        </w:tc>
        <w:tc>
          <w:tcPr>
            <w:tcW w:type="dxa" w:w="4824"/>
            <w:shd w:fill="FDEBEC"/>
            <w:tcMar>
              <w:top w:w="180" w:type="dxa"/>
              <w:start w:w="180" w:type="dxa"/>
              <w:bottom w:w="180" w:type="dxa"/>
              <w:end w:w="180" w:type="dxa"/>
            </w:tcMar>
          </w:tcPr>
          <w:p>
            <w:r>
              <w:t>Do not use</w:t>
              <w:br/>
              <w:t>APY, yield, interest or guaranteed-return claims</w:t>
              <w:br/>
              <w:t>FDIC-insured or risk-free language</w:t>
              <w:br/>
              <w:t>Claims that LedgerLite provides investment advice, beat-inflation promises, or crypto language</w:t>
              <w:br/>
              <w:t>Bank seals, government crests, card-network logos or insurance-style lock icons</w:t>
              <w:br/>
              <w:t>Gold wealth styling, stock charts, crypto coins or piles of cash as the main visual</w:t>
            </w:r>
          </w:p>
        </w:tc>
      </w:tr>
    </w:tbl>
    <w:p>
      <w:pPr>
        <w:pStyle w:val="Heading1"/>
      </w:pPr>
      <w:r>
        <w:t>Delivery</w:t>
      </w:r>
    </w:p>
    <w:p>
      <w:r>
        <w:rPr>
          <w:b/>
        </w:rPr>
        <w:t>Deliver one finished 4:5 mobile-feed ad. Do not provide a rules summary, source table, alternate concepts, or a contact sheet.</w:t>
      </w:r>
    </w:p>
    <w:p>
      <w:pPr>
        <w:pStyle w:val="Heading2"/>
      </w:pPr>
      <w:r>
        <w:t>Working note</w:t>
      </w:r>
    </w:p>
    <w:p>
      <w:r>
        <w:t>Use the asset register and placement sheet to confirm dates, channels, markets, and approval status before production. The brand guide sets the visual direction, while this brief supplies the campaign copy and compliance intent.</w:t>
      </w:r>
    </w:p>
    <w:p>
      <w:r>
        <w:br/>
      </w:r>
    </w:p>
    <w:p>
      <w:pPr>
        <w:pStyle w:val="Heading1"/>
      </w:pPr>
      <w:r>
        <w:rPr>
          <w:color w:val="172033"/>
        </w:rPr>
        <w:t>Final release resolution — mandatory override</w:t>
      </w:r>
    </w:p>
    <w:p>
      <w:r>
        <w:rPr>
          <w:b/>
        </w:rPr>
        <w:t xml:space="preserve">This section and Campaign_Release_Register.xlsx supersede the earlier consumer-facing copy and optional-badge guidance in this brief. </w:t>
      </w:r>
      <w:r>
        <w:t>The brand and compliance guide continues to control brand character and prohibited financial claims. Use only records whose latest status at or before 2026-08-14 17:00 UTC is valid for the 2026-08-18 US-EN Mobile Feed 4:5 launch.</w:t>
      </w:r>
    </w:p>
    <w:p>
      <w:pPr>
        <w:pStyle w:val="Heading2"/>
      </w:pPr>
      <w:r>
        <w:t>Required resolution sequence</w:t>
      </w:r>
    </w:p>
    <w:p>
      <w:pPr>
        <w:pStyle w:val="ListNumber"/>
      </w:pPr>
      <w:r>
        <w:t>Resolve the active placement profile from Paid_Social_Specs.xlsx using the latest pre-freeze revision state.</w:t>
      </w:r>
    </w:p>
    <w:p>
      <w:pPr>
        <w:pStyle w:val="ListNumber"/>
      </w:pPr>
      <w:r>
        <w:t>Resolve the unique approved Release Package from Campaign_Release_Register.xlsx. Package fields override the older copy table above.</w:t>
      </w:r>
    </w:p>
    <w:p>
      <w:pPr>
        <w:pStyle w:val="ListNumber"/>
      </w:pPr>
      <w:r>
        <w:t>Resolve the package disclosure and badge through their catalog IDs; do not substitute similar wording.</w:t>
      </w:r>
    </w:p>
    <w:p>
      <w:pPr>
        <w:pStyle w:val="ListNumber"/>
      </w:pPr>
      <w:r>
        <w:t>Resolve all five referenced assets through Asset Index, Approval History, Usage Matrix, Rights Register, and Version Control.</w:t>
      </w:r>
    </w:p>
    <w:p>
      <w:pPr>
        <w:pStyle w:val="ListNumber"/>
      </w:pPr>
      <w:r>
        <w:t>Use only consumer-facing package copy and intended interface text in the exported image; never expose package IDs, asset IDs, status labels, or internal notes.</w:t>
      </w:r>
    </w:p>
    <w:p>
      <w:pPr>
        <w:pStyle w:val="Heading2"/>
      </w:pPr>
      <w:r>
        <w:t>Final consumer-facing fields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72033"/>
          </w:tcPr>
          <w:p>
            <w:r>
              <w:rPr>
                <w:b/>
                <w:color w:val="FFFFFF"/>
              </w:rPr>
              <w:t>Field</w:t>
            </w:r>
          </w:p>
        </w:tc>
        <w:tc>
          <w:tcPr>
            <w:tcW w:type="dxa" w:w="5184"/>
            <w:vAlign w:val="center"/>
            <w:shd w:fill="172033"/>
          </w:tcPr>
          <w:p>
            <w:r>
              <w:rPr>
                <w:b/>
                <w:color w:val="FFFFFF"/>
              </w:rPr>
              <w:t>Resolution source</w:t>
            </w:r>
          </w:p>
        </w:tc>
      </w:tr>
      <w:tr>
        <w:tc>
          <w:tcPr>
            <w:tcW w:type="dxa" w:w="5184"/>
            <w:vAlign w:val="top"/>
          </w:tcPr>
          <w:p>
            <w:r>
              <w:t>Product, campaign marker, headline, support line</w:t>
            </w:r>
          </w:p>
        </w:tc>
        <w:tc>
          <w:tcPr>
            <w:tcW w:type="dxa" w:w="5184"/>
            <w:vAlign w:val="top"/>
          </w:tcPr>
          <w:p>
            <w:r>
              <w:t>Selected Release Package</w:t>
            </w:r>
          </w:p>
        </w:tc>
      </w:tr>
      <w:tr>
        <w:tc>
          <w:tcPr>
            <w:tcW w:type="dxa" w:w="5184"/>
            <w:vAlign w:val="top"/>
          </w:tcPr>
          <w:p>
            <w:r>
              <w:t>Audience and availability line</w:t>
            </w:r>
          </w:p>
        </w:tc>
        <w:tc>
          <w:tcPr>
            <w:tcW w:type="dxa" w:w="5184"/>
            <w:vAlign w:val="top"/>
          </w:tcPr>
          <w:p>
            <w:r>
              <w:t>Selected Release Package</w:t>
            </w:r>
          </w:p>
        </w:tc>
      </w:tr>
      <w:tr>
        <w:tc>
          <w:tcPr>
            <w:tcW w:type="dxa" w:w="5184"/>
            <w:vAlign w:val="top"/>
          </w:tcPr>
          <w:p>
            <w:r>
              <w:t>CTA and landing path</w:t>
            </w:r>
          </w:p>
        </w:tc>
        <w:tc>
          <w:tcPr>
            <w:tcW w:type="dxa" w:w="5184"/>
            <w:vAlign w:val="top"/>
          </w:tcPr>
          <w:p>
            <w:r>
              <w:t>Selected Release Package</w:t>
            </w:r>
          </w:p>
        </w:tc>
      </w:tr>
      <w:tr>
        <w:tc>
          <w:tcPr>
            <w:tcW w:type="dxa" w:w="5184"/>
            <w:vAlign w:val="top"/>
          </w:tcPr>
          <w:p>
            <w:r>
              <w:t>Legal disclosure</w:t>
            </w:r>
          </w:p>
        </w:tc>
        <w:tc>
          <w:tcPr>
            <w:tcW w:type="dxa" w:w="5184"/>
            <w:vAlign w:val="top"/>
          </w:tcPr>
          <w:p>
            <w:r>
              <w:t>Disclosure Catalog ID referenced by selected package</w:t>
            </w:r>
          </w:p>
        </w:tc>
      </w:tr>
      <w:tr>
        <w:tc>
          <w:tcPr>
            <w:tcW w:type="dxa" w:w="5184"/>
            <w:vAlign w:val="top"/>
          </w:tcPr>
          <w:p>
            <w:r>
              <w:t>Feature badge copy</w:t>
            </w:r>
          </w:p>
        </w:tc>
        <w:tc>
          <w:tcPr>
            <w:tcW w:type="dxa" w:w="5184"/>
            <w:vAlign w:val="top"/>
          </w:tcPr>
          <w:p>
            <w:r>
              <w:t>Badge Catalog ID referenced by selected package</w:t>
            </w:r>
          </w:p>
        </w:tc>
      </w:tr>
      <w:tr>
        <w:tc>
          <w:tcPr>
            <w:tcW w:type="dxa" w:w="5184"/>
            <w:vAlign w:val="top"/>
          </w:tcPr>
          <w:p>
            <w:r>
              <w:t>Logo, phone UI, background, photo, badge image</w:t>
            </w:r>
          </w:p>
        </w:tc>
        <w:tc>
          <w:tcPr>
            <w:tcW w:type="dxa" w:w="5184"/>
            <w:vAlign w:val="top"/>
          </w:tcPr>
          <w:p>
            <w:r>
              <w:t>Five asset IDs referenced by selected package and validated through the asset register</w:t>
            </w:r>
          </w:p>
        </w:tc>
      </w:tr>
    </w:tbl>
    <w:p>
      <w:pPr>
        <w:pStyle w:val="Heading2"/>
      </w:pPr>
      <w:r>
        <w:t>Compliance clarification</w:t>
      </w:r>
    </w:p>
    <w:p>
      <w:pPr>
        <w:pStyle w:val="ListBullet"/>
      </w:pPr>
      <w:r>
        <w:t>The final disclosure must be reproduced exactly from the selected disclosure record; the shorter legacy disclosure is no longer sufficient.</w:t>
      </w:r>
    </w:p>
    <w:p>
      <w:pPr>
        <w:pStyle w:val="ListBullet"/>
      </w:pPr>
      <w:r>
        <w:t>The feature badge is mandatory for this release and must carry both approved lines. It is not an optional decorative badge.</w:t>
      </w:r>
    </w:p>
    <w:p>
      <w:pPr>
        <w:pStyle w:val="ListBullet"/>
      </w:pPr>
      <w:r>
        <w:t>The selected interface must match the release package and show the current beta balance, bucket names, values, percentages, reminder date, and reminder amount.</w:t>
      </w:r>
    </w:p>
    <w:p>
      <w:pPr>
        <w:pStyle w:val="ListBullet"/>
      </w:pPr>
      <w:r>
        <w:t>Do not use claims about automation, automatic transfers, APY, interest, yield, insurance, guaranteed returns, or investment advice.</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203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6BF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203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