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BrightBite Protein Oats</w:t>
        <w:br/>
        <w:t>September In-App Campaign Brief</w:t>
      </w:r>
    </w:p>
    <w:p>
      <w:pPr>
        <w:jc w:val="center"/>
      </w:pPr>
      <w:r>
        <w:rPr>
          <w:color w:val="565049"/>
          <w:sz w:val="18"/>
        </w:rPr>
        <w:t>Brief v5.1  |  Issued 2026-09-10  |  Go live 2026-09-17</w:t>
      </w:r>
    </w:p>
    <w:p>
      <w:pPr>
        <w:pStyle w:val="Heading1"/>
      </w:pPr>
      <w:r>
        <w:t>What we need</w:t>
      </w:r>
    </w:p>
    <w:p>
      <w:pPr>
        <w:spacing w:after="100"/>
      </w:pPr>
      <w:r>
        <w:t>Please prepare the September home-feed banner for BrightBite Protein Oats. It will run in the US-English app on September 17. The piece should feel warm, practical and food-led, with the Cinnamon Starter cup as the main product object.</w:t>
      </w:r>
    </w:p>
    <w:p>
      <w:pPr>
        <w:pStyle w:val="Heading1"/>
      </w:pPr>
      <w:r>
        <w:t>Copy for the banner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6B3F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5083"/>
            <w:shd w:fill="6B3F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Approved wording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B3F24"/>
              </w:rPr>
              <w:t>Product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BrightBite Protein Oats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B3F24"/>
              </w:rPr>
              <w:t>Headline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Warm breakfast, ready in 90 seconds.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B3F24"/>
              </w:rPr>
              <w:t>Nutrition line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12g protein per cup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B3F24"/>
              </w:rPr>
              <w:t>CTA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Try the cinnamon starter pack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B3F24"/>
              </w:rPr>
              <w:t>Source line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Nutrition facts on pack</w:t>
            </w:r>
          </w:p>
        </w:tc>
      </w:tr>
    </w:tbl>
    <w:p>
      <w:pPr>
        <w:pStyle w:val="Heading1"/>
      </w:pPr>
      <w:r>
        <w:t>Creative direction</w:t>
      </w:r>
    </w:p>
    <w:p>
      <w:pPr>
        <w:ind w:left="288" w:hanging="216"/>
      </w:pPr>
      <w:r>
        <w:rPr>
          <w:b/>
        </w:rPr>
        <w:t xml:space="preserve">• </w:t>
      </w:r>
      <w:r>
        <w:t>Use the approved Cinnamon Starter packshot, food photograph, campaign background and compact nutrition support panel from the asset library.</w:t>
      </w:r>
    </w:p>
    <w:p>
      <w:pPr>
        <w:ind w:left="288" w:hanging="216"/>
      </w:pPr>
      <w:r>
        <w:rPr>
          <w:b/>
        </w:rPr>
        <w:t xml:space="preserve">• </w:t>
      </w:r>
      <w:r>
        <w:t>The product cup should lead. Food photography is supporting context and should not hide or replace the package.</w:t>
      </w:r>
    </w:p>
    <w:p>
      <w:pPr>
        <w:ind w:left="288" w:hanging="216"/>
      </w:pPr>
      <w:r>
        <w:rPr>
          <w:b/>
        </w:rPr>
        <w:t xml:space="preserve">• </w:t>
      </w:r>
      <w:r>
        <w:t>A small 12g or 90-second badge is optional when it adds information without repeating or crowding the required copy.</w:t>
      </w:r>
    </w:p>
    <w:p>
      <w:pPr>
        <w:ind w:left="288" w:hanging="216"/>
      </w:pPr>
      <w:r>
        <w:rPr>
          <w:b/>
        </w:rPr>
        <w:t xml:space="preserve">• </w:t>
      </w:r>
      <w:r>
        <w:t>Keep the result easy to scan in the app and avoid a clinical, supplement-like or heavy-discount look.</w:t>
      </w:r>
    </w:p>
    <w:p>
      <w:r>
        <w:br/>
      </w:r>
    </w:p>
    <w:p>
      <w:r>
        <w:br w:type="page"/>
      </w:r>
    </w:p>
    <w:p>
      <w:pPr>
        <w:pStyle w:val="Heading1"/>
      </w:pPr>
      <w:r>
        <w:t>Production notes</w:t>
      </w:r>
    </w:p>
    <w:p>
      <w:pPr>
        <w:pStyle w:val="Heading2"/>
      </w:pPr>
      <w:r>
        <w:t>Use the launch-date records</w:t>
      </w:r>
    </w:p>
    <w:p>
      <w:r>
        <w:t>The library still contains earlier packaging, later concepts, other flavors and exports for different channels. Use the asset register and paid-media workbook to confirm the files and placement that are Approved and active for the September 17 US-English in-app campaign.</w:t>
      </w:r>
    </w:p>
    <w:p>
      <w:pPr>
        <w:pStyle w:val="Heading2"/>
      </w:pPr>
      <w:r>
        <w:t>Claim boundaries</w:t>
      </w:r>
    </w:p>
    <w:p>
      <w:pPr>
        <w:ind w:left="288" w:hanging="216"/>
      </w:pPr>
      <w:r>
        <w:rPr>
          <w:b/>
        </w:rPr>
        <w:t xml:space="preserve">• </w:t>
      </w:r>
      <w:r>
        <w:t>Keep the 12g statement paired with “per cup.”</w:t>
      </w:r>
    </w:p>
    <w:p>
      <w:pPr>
        <w:ind w:left="288" w:hanging="216"/>
      </w:pPr>
      <w:r>
        <w:rPr>
          <w:b/>
        </w:rPr>
        <w:t xml:space="preserve">• </w:t>
      </w:r>
      <w:r>
        <w:t>The 90-second line is a preparation-time statement, not a performance or health promise.</w:t>
      </w:r>
    </w:p>
    <w:p>
      <w:pPr>
        <w:ind w:left="288" w:hanging="216"/>
      </w:pPr>
      <w:r>
        <w:rPr>
          <w:b/>
        </w:rPr>
        <w:t xml:space="preserve">• </w:t>
      </w:r>
      <w:r>
        <w:t>Do not add weight-loss, disease-treatment, doctor-endorsement, guaranteed-energy or extreme-discount language.</w:t>
      </w:r>
    </w:p>
    <w:p>
      <w:pPr>
        <w:ind w:left="288" w:hanging="216"/>
      </w:pPr>
      <w:r>
        <w:rPr>
          <w:b/>
        </w:rPr>
        <w:t xml:space="preserve">• </w:t>
      </w:r>
      <w:r>
        <w:t>Do not make the packaging or layout resemble medicine, a clinical treatment or a supplement ad.</w:t>
      </w:r>
    </w:p>
    <w:p>
      <w:pPr>
        <w:ind w:left="288" w:hanging="216"/>
      </w:pPr>
      <w:r>
        <w:rPr>
          <w:b/>
        </w:rPr>
        <w:t xml:space="preserve">• </w:t>
      </w:r>
      <w:r>
        <w:t>The source line must remain readable at normal banner size.</w:t>
      </w:r>
    </w:p>
    <w:p>
      <w:pPr>
        <w:pStyle w:val="Heading2"/>
      </w:pPr>
      <w:r>
        <w:t>Delivery</w:t>
      </w:r>
    </w:p>
    <w:p>
      <w:r>
        <w:t>Return one finished horizontal banner image. Do not place internal file names, asset IDs, status labels, source URLs or production notes on the artwork.</w:t>
      </w:r>
    </w:p>
    <w:sectPr w:rsidR="00FC693F" w:rsidRPr="0006063C" w:rsidSect="00034616">
      <w:footerReference w:type="default" r:id="rId9"/>
      <w:pgSz w:w="12240" w:h="15840"/>
      <w:pgMar w:top="835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6E64"/>
        <w:sz w:val="16"/>
      </w:rPr>
      <w:t>BrightBite Growth Creative  |  Internal campaign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6B3F2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6B3F2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6B3F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