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8F7B"/>
          <w:sz w:val="36"/>
        </w:rPr>
        <w:t>INTERNAL CREATIVE REQUEST</w:t>
      </w:r>
    </w:p>
    <w:p>
      <w:pPr>
        <w:jc w:val="center"/>
      </w:pPr>
      <w:r>
        <w:rPr>
          <w:b/>
          <w:color w:val="3E4346"/>
          <w:sz w:val="28"/>
        </w:rPr>
        <w:t>Spring community course spotlight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424"/>
      </w:tblGrid>
      <w:tr>
        <w:tc>
          <w:tcPr>
            <w:tcW w:type="dxa" w:w="5184"/>
            <w:vAlign w:val="center"/>
            <w:shd w:fill="F3F1EC"/>
          </w:tcPr>
          <w:p>
            <w:r>
              <w:rPr>
                <w:b/>
                <w:color w:val="3E4346"/>
              </w:rPr>
              <w:t>Requested by</w:t>
            </w:r>
          </w:p>
        </w:tc>
        <w:tc>
          <w:tcPr>
            <w:tcW w:type="dxa" w:w="5184"/>
            <w:vAlign w:val="center"/>
            <w:shd w:fill="FFFFFF"/>
          </w:tcPr>
          <w:p>
            <w:r>
              <w:t>Continuing Education &amp; Workforce Development</w:t>
            </w:r>
          </w:p>
        </w:tc>
      </w:tr>
      <w:tr>
        <w:tc>
          <w:tcPr>
            <w:tcW w:type="dxa" w:w="5184"/>
            <w:vAlign w:val="center"/>
            <w:shd w:fill="F3F1EC"/>
          </w:tcPr>
          <w:p>
            <w:r>
              <w:rPr>
                <w:b/>
                <w:color w:val="3E4346"/>
              </w:rPr>
              <w:t>For</w:t>
            </w:r>
          </w:p>
        </w:tc>
        <w:tc>
          <w:tcPr>
            <w:tcW w:type="dxa" w:w="5184"/>
            <w:vAlign w:val="center"/>
            <w:shd w:fill="FFFFFF"/>
          </w:tcPr>
          <w:p>
            <w:r>
              <w:t>Design &amp; Communications</w:t>
            </w:r>
          </w:p>
        </w:tc>
      </w:tr>
      <w:tr>
        <w:tc>
          <w:tcPr>
            <w:tcW w:type="dxa" w:w="5184"/>
            <w:vAlign w:val="center"/>
            <w:shd w:fill="F3F1EC"/>
          </w:tcPr>
          <w:p>
            <w:r>
              <w:rPr>
                <w:b/>
                <w:color w:val="3E4346"/>
              </w:rPr>
              <w:t>Request date</w:t>
            </w:r>
          </w:p>
        </w:tc>
        <w:tc>
          <w:tcPr>
            <w:tcW w:type="dxa" w:w="5184"/>
            <w:vAlign w:val="center"/>
            <w:shd w:fill="FFFFFF"/>
          </w:tcPr>
          <w:p>
            <w:r>
              <w:t>February 20, 2026</w:t>
            </w:r>
          </w:p>
        </w:tc>
      </w:tr>
      <w:tr>
        <w:tc>
          <w:tcPr>
            <w:tcW w:type="dxa" w:w="5184"/>
            <w:vAlign w:val="center"/>
            <w:shd w:fill="F3F1EC"/>
          </w:tcPr>
          <w:p>
            <w:r>
              <w:rPr>
                <w:b/>
                <w:color w:val="3E4346"/>
              </w:rPr>
              <w:t>Deliverable</w:t>
            </w:r>
          </w:p>
        </w:tc>
        <w:tc>
          <w:tcPr>
            <w:tcW w:type="dxa" w:w="5184"/>
            <w:vAlign w:val="center"/>
            <w:shd w:fill="FFFFFF"/>
          </w:tcPr>
          <w:p>
            <w:r>
              <w:t>One 1080 x 1350 portrait poster for the college website and partner newsletters</w:t>
            </w:r>
          </w:p>
        </w:tc>
      </w:tr>
    </w:tbl>
    <w:p>
      <w:pPr>
        <w:spacing w:before="140" w:after="40"/>
      </w:pPr>
      <w:r>
        <w:rPr>
          <w:b/>
          <w:color w:val="0B8F7B"/>
          <w:sz w:val="23"/>
        </w:rPr>
        <w:t>Project</w:t>
      </w:r>
    </w:p>
    <w:p>
      <w:pPr>
        <w:spacing w:after="60"/>
      </w:pPr>
      <w:r>
        <w:t>Prepare a stand-alone public poster for catalog course PE-087. Use the catalog as the baseline, then reconcile it with registrar records released for public use by the request date. The poster should feel like a course spotlight rather than a copied catalog listing.</w:t>
      </w:r>
    </w:p>
    <w:p>
      <w:pPr>
        <w:spacing w:before="140" w:after="40"/>
      </w:pPr>
      <w:r>
        <w:rPr>
          <w:b/>
          <w:color w:val="0B8F7B"/>
          <w:sz w:val="23"/>
        </w:rPr>
        <w:t>Required public content</w:t>
      </w:r>
    </w:p>
    <w:p>
      <w:pPr>
        <w:pStyle w:val="ListBullet"/>
        <w:spacing w:after="30"/>
        <w:ind w:left="259"/>
      </w:pPr>
      <w:r>
        <w:t>Verified course title and code, current instructor, and the complete five-session run.</w:t>
      </w:r>
    </w:p>
    <w:p>
      <w:pPr>
        <w:pStyle w:val="ListBullet"/>
        <w:spacing w:after="30"/>
        <w:ind w:left="259"/>
      </w:pPr>
      <w:r>
        <w:t>A clearly split indoor foundation stage and outdoor practice stage, with each stage's dates, time, and meeting place. Keep the outdoor weather note attached to that stage.</w:t>
      </w:r>
    </w:p>
    <w:p>
      <w:pPr>
        <w:pStyle w:val="ListBullet"/>
        <w:spacing w:after="30"/>
        <w:ind w:left="259"/>
      </w:pPr>
      <w:r>
        <w:t>Current fee, current registration deadline, and the released registration landing page.</w:t>
      </w:r>
    </w:p>
    <w:p>
      <w:pPr>
        <w:pStyle w:val="ListBullet"/>
        <w:spacing w:after="30"/>
        <w:ind w:left="259"/>
      </w:pPr>
      <w:r>
        <w:t>One short audience line welcoming both first-time participants and people refining existing skills.</w:t>
      </w:r>
    </w:p>
    <w:p>
      <w:pPr>
        <w:pStyle w:val="ListBullet"/>
        <w:spacing w:after="30"/>
        <w:ind w:left="259"/>
      </w:pPr>
      <w:r>
        <w:t>One concise participant-preparation note, using only the latest released instruction in the registrar log.</w:t>
      </w:r>
    </w:p>
    <w:p>
      <w:pPr>
        <w:spacing w:before="140" w:after="40"/>
      </w:pPr>
      <w:r>
        <w:rPr>
          <w:b/>
          <w:color w:val="0B8F7B"/>
          <w:sz w:val="23"/>
        </w:rPr>
        <w:t>Copy direction</w:t>
      </w:r>
    </w:p>
    <w:p>
      <w:pPr>
        <w:pStyle w:val="ListBullet"/>
        <w:spacing w:after="30"/>
        <w:ind w:left="259"/>
      </w:pPr>
      <w:r>
        <w:t>Use exactly three short learning takeaways in this order: choosing essential gear; preparing the rod and knots; improving casting accuracy and distance.</w:t>
      </w:r>
    </w:p>
    <w:p>
      <w:pPr>
        <w:pStyle w:val="ListBullet"/>
        <w:spacing w:after="30"/>
        <w:ind w:left="259"/>
      </w:pPr>
      <w:r>
        <w:t>Condense the source material. Do not copy the full course description or instructor biography.</w:t>
      </w:r>
    </w:p>
    <w:p>
      <w:pPr>
        <w:pStyle w:val="ListBullet"/>
        <w:spacing w:after="30"/>
        <w:ind w:left="259"/>
      </w:pPr>
      <w:r>
        <w:t>Make the registration action easier to find than supporting course details, while keeping both schedule stages easy to scan.</w:t>
      </w:r>
    </w:p>
    <w:p>
      <w:pPr>
        <w:spacing w:before="140" w:after="40"/>
      </w:pPr>
      <w:r>
        <w:rPr>
          <w:b/>
          <w:color w:val="0B8F7B"/>
          <w:sz w:val="23"/>
        </w:rPr>
        <w:t>Design and asset direction</w:t>
      </w:r>
    </w:p>
    <w:p>
      <w:pPr>
        <w:pStyle w:val="ListBullet"/>
        <w:spacing w:after="30"/>
        <w:ind w:left="259"/>
      </w:pPr>
      <w:r>
        <w:t>Follow the Spring 2026 campaign standards for size, palette, typography, reading order, logo placement, and copy limits.</w:t>
      </w:r>
    </w:p>
    <w:p>
      <w:pPr>
        <w:pStyle w:val="ListBullet"/>
        <w:spacing w:after="30"/>
        <w:ind w:left="259"/>
      </w:pPr>
      <w:r>
        <w:t>Choose the current campaign mark and one course-relevant image whose rights window and channels cover this request date and deliverable.</w:t>
      </w:r>
    </w:p>
    <w:p>
      <w:pPr>
        <w:pStyle w:val="ListBullet"/>
        <w:spacing w:after="30"/>
        <w:ind w:left="259"/>
      </w:pPr>
      <w:r>
        <w:t>Do not invent or redraw the college mark, use another course's image, or build the composition around decorative fish or angler cutouts.</w:t>
      </w:r>
    </w:p>
    <w:p>
      <w:pPr>
        <w:spacing w:before="140" w:after="40"/>
      </w:pPr>
      <w:r>
        <w:rPr>
          <w:b/>
          <w:color w:val="0B8F7B"/>
          <w:sz w:val="23"/>
        </w:rPr>
        <w:t>Final check</w:t>
      </w:r>
    </w:p>
    <w:p>
      <w:pPr>
        <w:spacing w:after="0"/>
      </w:pPr>
      <w:r>
        <w:t>Resolve each changed field using the registrar field guide. Do not publish Draft, Withdrawn, Superseded, or later-effective records. Keep audit notes internal and avoid details from neighboring courses.</w:t>
      </w:r>
    </w:p>
    <w:sectPr w:rsidR="00FC693F" w:rsidRPr="0006063C" w:rsidSect="00034616">
      <w:footerReference w:type="default" r:id="rId9"/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E6E6E"/>
        <w:sz w:val="16"/>
      </w:rPr>
      <w:t>Continuing Education Marketing | Internal use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