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creative handoff | Partner Agency Orientation Refresh</w:t>
      </w:r>
    </w:p>
    <w:p>
      <w:pPr>
        <w:jc w:val="center"/>
      </w:pPr>
      <w:r>
        <w:rPr>
          <w:b/>
          <w:color w:val="1F4E78"/>
          <w:sz w:val="22"/>
        </w:rPr>
        <w:t>COUNTY EMERGENCY MANAGEMENT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requirement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Primary audience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County departments, utilities, public health, schools, nonprofit partners, and public-information staff joining a coordinated incident response.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Use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Opening orientation, partner portal, and a printed desk-side reference.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Authority source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FEMA NIMS 2017 Learning Materials in the project folder.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Supporting evidence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Partner review workbook and the approved Spring 2026 exercise scenario.</w:t>
            </w:r>
          </w:p>
        </w:tc>
      </w:tr>
    </w:tbl>
    <w:p>
      <w:pPr>
        <w:pStyle w:val="Heading1"/>
      </w:pPr>
      <w:r>
        <w:t>Communication objective</w:t>
      </w:r>
    </w:p>
    <w:p>
      <w:r>
        <w:t>Create one relationship-based quick reference that helps a first-time partner distinguish who manages the incident scene, who supports it from elsewhere, where senior policy and scarce-resource decisions sit, and how public information operates across the model. The page must stand on its own without a presenter.</w:t>
      </w:r>
    </w:p>
    <w:p>
      <w:pPr>
        <w:pStyle w:val="Heading1"/>
      </w:pPr>
      <w:r>
        <w:t>Required evidence workflow</w:t>
      </w:r>
    </w:p>
    <w:p>
      <w:pPr>
        <w:pStyle w:val="ListBullet"/>
        <w:spacing w:after="40"/>
      </w:pPr>
      <w:r>
        <w:t>Use the FEMA presentation as the sole authority for official terminology, roles, relationships, limits, and supported public-information activities.</w:t>
      </w:r>
    </w:p>
    <w:p>
      <w:pPr>
        <w:pStyle w:val="ListBullet"/>
        <w:spacing w:after="40"/>
      </w:pPr>
      <w:r>
        <w:t>Join Feedback to Session Register by session_id.</w:t>
      </w:r>
    </w:p>
    <w:p>
      <w:pPr>
        <w:pStyle w:val="ListBullet"/>
        <w:spacing w:after="40"/>
      </w:pPr>
      <w:r>
        <w:t>Keep only Participant survey records with response_status = Submitted that belong to Completed Partner orientation sessions in the Spring 2026 refresh cycle.</w:t>
      </w:r>
    </w:p>
    <w:p>
      <w:pPr>
        <w:pStyle w:val="ListBullet"/>
        <w:spacing w:after="40"/>
      </w:pPr>
      <w:r>
        <w:t>Rank issue codes by the number of distinct eligible sessions in which they occur, not by raw response count. This prevents one unusually large session from dominating the priorities.</w:t>
      </w:r>
    </w:p>
    <w:p>
      <w:pPr>
        <w:pStyle w:val="ListBullet"/>
        <w:spacing w:after="40"/>
      </w:pPr>
      <w:r>
        <w:t>Break any tie first by eligible submitted-response count, then by the most recent eligible session date.</w:t>
      </w:r>
    </w:p>
    <w:p>
      <w:pPr>
        <w:pStyle w:val="ListBullet"/>
        <w:spacing w:after="40"/>
      </w:pPr>
      <w:r>
        <w:t>Use the three highest-ranked issue codes to create exactly three concise corrections. Do not display counts, raw quotes, unanswered questions, or lower-ranked topics.</w:t>
      </w:r>
    </w:p>
    <w:p>
      <w:pPr>
        <w:pStyle w:val="Heading1"/>
      </w:pPr>
      <w:r>
        <w:t>Core model content gates</w:t>
      </w:r>
    </w:p>
    <w:p>
      <w:r>
        <w:t>The infographic must synthesize the source rather than copy one slide. The finished content should support all of the following checks:</w:t>
      </w:r>
    </w:p>
    <w:p>
      <w:pPr>
        <w:pStyle w:val="ListBullet"/>
        <w:spacing w:after="40"/>
      </w:pPr>
      <w:r>
        <w:t>Identify the current NIMS edition and all four official command-and-coordination structures with expanded names and acronyms.</w:t>
      </w:r>
    </w:p>
    <w:p>
      <w:pPr>
        <w:pStyle w:val="ListBullet"/>
        <w:spacing w:after="40"/>
      </w:pPr>
      <w:r>
        <w:t>State the on-scene tactical role of ICS and the off-scene support role of EOCs, including who EOCs support.</w:t>
      </w:r>
    </w:p>
    <w:p>
      <w:pPr>
        <w:pStyle w:val="ListBullet"/>
        <w:spacing w:after="40"/>
      </w:pPr>
      <w:r>
        <w:t>For EOCs, distinguish universal common functions from organization charts or activation models that may vary by jurisdiction.</w:t>
      </w:r>
    </w:p>
    <w:p>
      <w:pPr>
        <w:pStyle w:val="ListBullet"/>
        <w:spacing w:after="40"/>
      </w:pPr>
      <w:r>
        <w:t>For the MAC Group, include typical senior participation, strategic-policy and scarce-resource responsibilities, and the full boundary on what the group does not command or replace.</w:t>
      </w:r>
    </w:p>
    <w:p>
      <w:pPr>
        <w:pStyle w:val="ListBullet"/>
        <w:spacing w:after="40"/>
      </w:pPr>
      <w:r>
        <w:t>For JIS, include its integration role, intended public/stakeholder audience, supported structures, and the information-quality standard stated in the FEMA source.</w:t>
      </w:r>
    </w:p>
    <w:p>
      <w:pPr>
        <w:pStyle w:val="ListBullet"/>
        <w:spacing w:after="40"/>
      </w:pPr>
      <w:r>
        <w:t>Place JIC at the correct level and summarize the kinds of JIS activities it manages or coordinates.</w:t>
      </w:r>
    </w:p>
    <w:p>
      <w:pPr>
        <w:pStyle w:val="ListBullet"/>
        <w:spacing w:after="40"/>
      </w:pPr>
      <w:r>
        <w:t>If MACS is mentioned, treat it only as an overarching term for the full command-and-coordination system, not as an additional peer structure.</w:t>
      </w:r>
    </w:p>
    <w:p>
      <w:pPr>
        <w:pStyle w:val="Heading1"/>
      </w:pPr>
      <w:r>
        <w:t>Clarification-note standard</w:t>
      </w:r>
    </w:p>
    <w:p>
      <w:r>
        <w:t>Each of the three “Do not confuse…” notes must do two things: identify the mistaken assumption in plain language and replace it with a source-grounded correction. A note that merely names two terms, repeats a survey comment, or gives only one side of the contrast is incomplete.</w:t>
      </w:r>
    </w:p>
    <w:p>
      <w:pPr>
        <w:pStyle w:val="Heading1"/>
      </w:pPr>
      <w:r>
        <w:t>Scenario application</w:t>
      </w:r>
    </w:p>
    <w:p>
      <w:r>
        <w:t>Use the approved exercise scenario to add exactly four concurrent “In practice” examples. Preserve the operational meaning of each action, including authority boundaries and the system-versus-center distinction. The examples are applications of the model, not a response sequence or a county-specific chain of command.</w:t>
      </w:r>
    </w:p>
    <w:p>
      <w:pPr>
        <w:pStyle w:val="Heading1"/>
      </w:pPr>
      <w:r>
        <w:t>Editorial boundaries</w:t>
      </w:r>
    </w:p>
    <w:p>
      <w:pPr>
        <w:pStyle w:val="ListBullet"/>
        <w:spacing w:after="40"/>
      </w:pPr>
      <w:r>
        <w:t>Use concise plain language, but do not weaken the official distinctions.</w:t>
      </w:r>
    </w:p>
    <w:p>
      <w:pPr>
        <w:pStyle w:val="ListBullet"/>
        <w:spacing w:after="40"/>
      </w:pPr>
      <w:r>
        <w:t>Do not invent county reporting lines, activation rules, contacts, emergency instructions, or local branding.</w:t>
      </w:r>
    </w:p>
    <w:p>
      <w:pPr>
        <w:pStyle w:val="ListBullet"/>
        <w:spacing w:after="40"/>
      </w:pPr>
      <w:r>
        <w:t>Do not elevate a JIC, MACS, an EOC activation level, or an EOC organization chart into another main command-and-coordination structure.</w:t>
      </w:r>
    </w:p>
    <w:p>
      <w:pPr>
        <w:pStyle w:val="ListBullet"/>
        <w:spacing w:after="40"/>
      </w:pPr>
      <w:r>
        <w:t>Do not use the 2008 comparison, Planning P, resource-typing process, course sequence, or detailed EOC organization charts as active quick-reference content.</w:t>
      </w:r>
    </w:p>
    <w:p>
      <w:pPr>
        <w:pStyle w:val="ListBullet"/>
        <w:spacing w:after="40"/>
      </w:pPr>
      <w:r>
        <w:t>Include a small source line identifying the FEMA NIMS 2017 Learning Materials.</w:t>
      </w:r>
    </w:p>
    <w:p>
      <w:pPr>
        <w:pStyle w:val="Heading1"/>
      </w:pPr>
      <w:r>
        <w:t>Review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Acceptance focus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Training coordinator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Official terminology, NIMS edition, and source traceability.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Operations liaison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Scene/support direction, EOC common functions, MAC Group authority boundaries, and scenario mappings.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Public-information lead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JIS audience, information standards, support scope, JIC relationship, and JIS activities.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color w:val="1F2937"/>
                <w:sz w:val="18"/>
              </w:rPr>
              <w:t>Communications lead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Plain-language correction quality and one-page usability under the separate production guide.</w:t>
            </w:r>
          </w:p>
        </w:tc>
      </w:tr>
    </w:tbl>
    <w:p>
      <w:r>
        <w:t>Handoff note: the review workbook identifies which misunderstandings deserve space; it does not supply the correct NIMS answer. Correct every selected theme against the FEMA source before including it.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