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b/>
          <w:sz w:val="44"/>
        </w:rPr>
        <w:t>June 18 regional paid-social campaign request</w:t>
      </w:r>
    </w:p>
    <w:p>
      <w:pPr>
        <w:pStyle w:val="Heading1"/>
      </w:pPr>
      <w:r>
        <w:rPr>
          <w:rFonts w:ascii="Aptos" w:hAnsi="Aptos" w:eastAsia="Aptos"/>
          <w:b/>
          <w:sz w:val="28"/>
        </w:rPr>
        <w:t>Decision sequence</w:t>
      </w:r>
    </w:p>
    <w:p>
      <w:r>
        <w:rPr>
          <w:rFonts w:ascii="Aptos" w:hAnsi="Aptos" w:eastAsia="Aptos"/>
          <w:sz w:val="21"/>
        </w:rPr>
        <w:t>Start with the May sales workbook and the external service-area snapshot. Apply every cumulative order, customer, state-serviceability, line-scope, invoice-window, close-cutoff, and invoice-credit rule.</w:t>
      </w:r>
    </w:p>
    <w:p>
      <w:r>
        <w:rPr>
          <w:rFonts w:ascii="Aptos" w:hAnsi="Aptos" w:eastAsia="Aptos"/>
          <w:sz w:val="21"/>
        </w:rPr>
        <w:t>Then use Program Funding and Funding Type Map. Keep the latest version of each funding record, enforce the separate June 12 funding close, match the line product program code, apply only badge-eligible funding types, and calculate program-eligible net contribution.</w:t>
      </w:r>
    </w:p>
    <w:p>
      <w:r>
        <w:rPr>
          <w:rFonts w:ascii="Aptos" w:hAnsi="Aptos" w:eastAsia="Aptos"/>
          <w:sz w:val="21"/>
        </w:rPr>
        <w:t>Rank products by program-eligible net contribution, not net revenue, gross revenue, funding dollars alone, or unit count. For the selected product only, rank reporting regions by the same contribution metric.</w:t>
      </w:r>
    </w:p>
    <w:p>
      <w:r>
        <w:rPr>
          <w:rFonts w:ascii="Aptos" w:hAnsi="Aptos" w:eastAsia="Aptos"/>
          <w:sz w:val="21"/>
        </w:rPr>
        <w:t>Use the selected region code and selected product program code to build the current placement objective key. Do not choose a placement row before both decisions are complete.</w:t>
      </w:r>
    </w:p>
    <w:p>
      <w:r>
        <w:rPr>
          <w:rFonts w:ascii="Aptos" w:hAnsi="Aptos" w:eastAsia="Aptos"/>
          <w:sz w:val="21"/>
        </w:rPr>
        <w:t>Use the selected product, reporting region, audience priority roles, current placement row, controlling claim revision, rollout wave, and asset validity to resolve all customer-facing content.</w:t>
      </w:r>
    </w:p>
    <w:p>
      <w:pPr>
        <w:pStyle w:val="Heading1"/>
      </w:pPr>
      <w:r>
        <w:rPr>
          <w:rFonts w:ascii="Aptos" w:hAnsi="Aptos" w:eastAsia="Aptos"/>
          <w:b/>
          <w:sz w:val="28"/>
        </w:rPr>
        <w:t>Required customer-facing content</w:t>
      </w:r>
    </w:p>
    <w:p>
      <w:r>
        <w:rPr>
          <w:rFonts w:ascii="Aptos" w:hAnsi="Aptos" w:eastAsia="Aptos"/>
          <w:sz w:val="21"/>
        </w:rPr>
        <w:t>Use the full selected product name and feature no second HelioGrid product.</w:t>
      </w:r>
    </w:p>
    <w:p>
      <w:r>
        <w:rPr>
          <w:rFonts w:ascii="Aptos" w:hAnsi="Aptos" w:eastAsia="Aptos"/>
          <w:sz w:val="21"/>
        </w:rPr>
        <w:t>Include the current placement row campaign label and badge template. Replace the year token while preserving every period, geography, program-scope, metric, and leader qualifier.</w:t>
      </w:r>
    </w:p>
    <w:p>
      <w:r>
        <w:rPr>
          <w:rFonts w:ascii="Aptos" w:hAnsi="Aptos" w:eastAsia="Aptos"/>
          <w:sz w:val="21"/>
        </w:rPr>
        <w:t>Use one current lead benefit and exactly two current proof points matching the audience-priority roles. Do not add a third co-equal product claim.</w:t>
      </w:r>
    </w:p>
    <w:p>
      <w:r>
        <w:rPr>
          <w:rFonts w:ascii="Aptos" w:hAnsi="Aptos" w:eastAsia="Aptos"/>
          <w:sz w:val="21"/>
        </w:rPr>
        <w:t>Use the current CTA, complete qualification, and every disclosure required by the current placement row. Required text must appear inside the image.</w:t>
      </w:r>
    </w:p>
    <w:p>
      <w:r>
        <w:rPr>
          <w:rFonts w:ascii="Aptos" w:hAnsi="Aptos" w:eastAsia="Aptos"/>
          <w:sz w:val="21"/>
        </w:rPr>
        <w:t>Keep customer-facing copy semantically complete. Omitting a participating-state code, compatibility condition, variability factor, event-window condition, override consequence, or pre-activation requirement is not equivalent.</w:t>
      </w:r>
    </w:p>
    <w:p>
      <w:r>
        <w:rPr>
          <w:rFonts w:ascii="Aptos" w:hAnsi="Aptos" w:eastAsia="Aptos"/>
          <w:sz w:val="21"/>
        </w:rPr>
        <w:t>Do not expose revenue, contribution, funding, units, order counts, customer-level data, calculations, funding IDs, claim IDs, asset IDs, rollout codes, objective keys, program codes, or workbook field names.</w:t>
      </w:r>
    </w:p>
    <w:p>
      <w:pPr>
        <w:pStyle w:val="Heading1"/>
      </w:pPr>
      <w:r>
        <w:rPr>
          <w:rFonts w:ascii="Aptos" w:hAnsi="Aptos" w:eastAsia="Aptos"/>
          <w:b/>
          <w:sz w:val="28"/>
        </w:rPr>
        <w:t>Validity and conflict rules</w:t>
      </w:r>
    </w:p>
    <w:p>
      <w:r>
        <w:rPr>
          <w:rFonts w:ascii="Aptos" w:hAnsi="Aptos" w:eastAsia="Aptos"/>
          <w:sz w:val="21"/>
        </w:rPr>
        <w:t>Use June 18, 2026 as the effective-date check for service-area rows, funding rows, placement rows, claims, qualifications, disclosures, and assets. Use June 12, 2026 as the separate funding-posting cutoff.</w:t>
      </w:r>
    </w:p>
    <w:p>
      <w:r>
        <w:rPr>
          <w:rFonts w:ascii="Aptos" w:hAnsi="Aptos" w:eastAsia="Aptos"/>
          <w:sz w:val="21"/>
        </w:rPr>
        <w:t>Approval alone is insufficient. Product, program code, revision, use role, objective/channel, reporting region, rollout wave, effective date, and placement must all match.</w:t>
      </w:r>
    </w:p>
    <w:p>
      <w:r>
        <w:rPr>
          <w:rFonts w:ascii="Aptos" w:hAnsi="Aptos" w:eastAsia="Aptos"/>
          <w:sz w:val="21"/>
        </w:rPr>
        <w:t>Apply June_18_Campaign_Change_Control.md before resolving the placement and claims. It overrides earlier wording only where explicitly stated.</w:t>
      </w:r>
    </w:p>
    <w:p>
      <w:r>
        <w:rPr>
          <w:rFonts w:ascii="Aptos" w:hAnsi="Aptos" w:eastAsia="Aptos"/>
          <w:sz w:val="21"/>
        </w:rPr>
        <w:t>When near-duplicate copy exists, use the row current for the exact objective, revision, region, rollout wave, and product. Similar wording does not make a superseded, wrong-objective, wrong-region, or future row valid.</w:t>
      </w:r>
    </w:p>
    <w:p>
      <w:r>
        <w:rPr>
          <w:rFonts w:ascii="Aptos" w:hAnsi="Aptos" w:eastAsia="Aptos"/>
          <w:sz w:val="21"/>
        </w:rPr>
        <w:t>Audience guidance selects message emphasis and proof roles; it does not authorize unsupported product wording.</w:t>
      </w:r>
    </w:p>
    <w:p>
      <w:pPr>
        <w:pStyle w:val="Heading1"/>
      </w:pPr>
      <w:r>
        <w:rPr>
          <w:rFonts w:ascii="Aptos" w:hAnsi="Aptos" w:eastAsia="Aptos"/>
          <w:b/>
          <w:sz w:val="28"/>
        </w:rPr>
        <w:t>Asset and delivery rules</w:t>
      </w:r>
    </w:p>
    <w:p>
      <w:r>
        <w:rPr>
          <w:rFonts w:ascii="Aptos" w:hAnsi="Aptos" w:eastAsia="Aptos"/>
          <w:sz w:val="21"/>
        </w:rPr>
        <w:t>Use the approved residential rooftop-solar background for the selected reporting region and rollout wave.</w:t>
      </w:r>
    </w:p>
    <w:p>
      <w:r>
        <w:rPr>
          <w:rFonts w:ascii="Aptos" w:hAnsi="Aptos" w:eastAsia="Aptos"/>
          <w:sz w:val="21"/>
        </w:rPr>
        <w:t>Use the current product source for the selected product and apply every treatment in the asset register. Supplier names, third-party marks, warning labels, test-room labels, exposed connectors, loose leads, unrelated equipment, retired versions, and reference-only framing must not remain.</w:t>
      </w:r>
    </w:p>
    <w:p>
      <w:r>
        <w:rPr>
          <w:rFonts w:ascii="Aptos" w:hAnsi="Aptos" w:eastAsia="Aptos"/>
          <w:sz w:val="21"/>
        </w:rPr>
        <w:t>Use the current HelioGrid identity and the current 1080 x 1350 Instagram Portrait Feed specification.</w:t>
      </w:r>
    </w:p>
    <w:p>
      <w:r>
        <w:rPr>
          <w:rFonts w:ascii="Aptos" w:hAnsi="Aptos" w:eastAsia="Aptos"/>
          <w:sz w:val="21"/>
        </w:rPr>
        <w:t>Return one final campaign image only, not a calculation sheet, brief, slide, mood board, or explanation.</w:t>
      </w:r>
    </w:p>
    <w:p>
      <w:r>
        <w:rPr>
          <w:rFonts w:ascii="Aptos" w:hAnsi="Aptos" w:eastAsia="Aptos"/>
          <w:sz w:val="21"/>
        </w:rPr>
        <w:t>Version note: this request is interpreted together with the June 18 change-control note.</w:t>
      </w:r>
    </w:p>
    <w:tbl>
      <w:tblPr>
        <w:tblStyle w:val="TableGrid"/>
        <w:tblW w:type="auto" w:w="0"/>
        <w:jc w:val="center"/>
        <w:tblLook w:firstColumn="1" w:firstRow="1" w:lastColumn="0" w:lastRow="0" w:noHBand="0" w:noVBand="1" w:val="04A0"/>
      </w:tblPr>
      <w:tblGrid>
        <w:gridCol w:w="5112"/>
        <w:gridCol w:w="5112"/>
      </w:tblGrid>
      <w:tr>
        <w:tc>
          <w:tcPr>
            <w:tcW w:type="dxa" w:w="5112"/>
            <w:shd w:fill="DDEBF7"/>
            <w:vAlign w:val="center"/>
          </w:tcPr>
          <w:p>
            <w:r>
              <w:rPr>
                <w:rFonts w:ascii="Aptos" w:hAnsi="Aptos" w:eastAsia="Aptos"/>
                <w:sz w:val="18"/>
              </w:rPr>
              <w:t>From</w:t>
            </w:r>
          </w:p>
        </w:tc>
        <w:tc>
          <w:tcPr>
            <w:tcW w:type="dxa" w:w="5112"/>
            <w:vAlign w:val="center"/>
          </w:tcPr>
          <w:p>
            <w:r>
              <w:rPr>
                <w:rFonts w:ascii="Aptos" w:hAnsi="Aptos" w:eastAsia="Aptos"/>
                <w:sz w:val="18"/>
              </w:rPr>
              <w:t>Maya Chen, Residential Growth Marketing</w:t>
            </w:r>
          </w:p>
        </w:tc>
      </w:tr>
      <w:tr>
        <w:tc>
          <w:tcPr>
            <w:tcW w:type="dxa" w:w="5112"/>
            <w:shd w:fill="DDEBF7"/>
            <w:vAlign w:val="center"/>
          </w:tcPr>
          <w:p>
            <w:r>
              <w:rPr>
                <w:rFonts w:ascii="Aptos" w:hAnsi="Aptos" w:eastAsia="Aptos"/>
                <w:sz w:val="18"/>
              </w:rPr>
              <w:t>To</w:t>
            </w:r>
          </w:p>
        </w:tc>
        <w:tc>
          <w:tcPr>
            <w:tcW w:type="dxa" w:w="5112"/>
            <w:vAlign w:val="center"/>
          </w:tcPr>
          <w:p>
            <w:r>
              <w:rPr>
                <w:rFonts w:ascii="Aptos" w:hAnsi="Aptos" w:eastAsia="Aptos"/>
                <w:sz w:val="18"/>
              </w:rPr>
              <w:t>Creative Ops + Analyst Support</w:t>
            </w:r>
          </w:p>
        </w:tc>
      </w:tr>
      <w:tr>
        <w:tc>
          <w:tcPr>
            <w:tcW w:type="dxa" w:w="5112"/>
            <w:shd w:fill="DDEBF7"/>
            <w:vAlign w:val="center"/>
          </w:tcPr>
          <w:p>
            <w:r>
              <w:rPr>
                <w:rFonts w:ascii="Aptos" w:hAnsi="Aptos" w:eastAsia="Aptos"/>
                <w:sz w:val="18"/>
              </w:rPr>
              <w:t>Campaign snapshot</w:t>
            </w:r>
          </w:p>
        </w:tc>
        <w:tc>
          <w:tcPr>
            <w:tcW w:type="dxa" w:w="5112"/>
            <w:vAlign w:val="center"/>
          </w:tcPr>
          <w:p>
            <w:r>
              <w:rPr>
                <w:rFonts w:ascii="Aptos" w:hAnsi="Aptos" w:eastAsia="Aptos"/>
                <w:sz w:val="18"/>
              </w:rPr>
              <w:t>June 18, 2026</w:t>
            </w:r>
          </w:p>
        </w:tc>
      </w:tr>
      <w:tr>
        <w:tc>
          <w:tcPr>
            <w:tcW w:type="dxa" w:w="5112"/>
            <w:shd w:fill="DDEBF7"/>
            <w:vAlign w:val="center"/>
          </w:tcPr>
          <w:p>
            <w:r>
              <w:rPr>
                <w:rFonts w:ascii="Aptos" w:hAnsi="Aptos" w:eastAsia="Aptos"/>
                <w:sz w:val="18"/>
              </w:rPr>
              <w:t>Requested channel</w:t>
            </w:r>
          </w:p>
        </w:tc>
        <w:tc>
          <w:tcPr>
            <w:tcW w:type="dxa" w:w="5112"/>
            <w:vAlign w:val="center"/>
          </w:tcPr>
          <w:p>
            <w:r>
              <w:rPr>
                <w:rFonts w:ascii="Aptos" w:hAnsi="Aptos" w:eastAsia="Aptos"/>
                <w:sz w:val="18"/>
              </w:rPr>
              <w:t>Instagram paid social</w:t>
            </w:r>
          </w:p>
        </w:tc>
      </w:tr>
      <w:tr>
        <w:tc>
          <w:tcPr>
            <w:tcW w:type="dxa" w:w="5112"/>
            <w:shd w:fill="DDEBF7"/>
            <w:vAlign w:val="center"/>
          </w:tcPr>
          <w:p>
            <w:r>
              <w:rPr>
                <w:rFonts w:ascii="Aptos" w:hAnsi="Aptos" w:eastAsia="Aptos"/>
                <w:sz w:val="18"/>
              </w:rPr>
              <w:t>Requested placement</w:t>
            </w:r>
          </w:p>
        </w:tc>
        <w:tc>
          <w:tcPr>
            <w:tcW w:type="dxa" w:w="5112"/>
            <w:vAlign w:val="center"/>
          </w:tcPr>
          <w:p>
            <w:r>
              <w:rPr>
                <w:rFonts w:ascii="Aptos" w:hAnsi="Aptos" w:eastAsia="Aptos"/>
                <w:sz w:val="18"/>
              </w:rPr>
              <w:t>Portrait Feed</w:t>
            </w:r>
          </w:p>
        </w:tc>
      </w:tr>
      <w:tr>
        <w:tc>
          <w:tcPr>
            <w:tcW w:type="dxa" w:w="5112"/>
            <w:shd w:fill="DDEBF7"/>
            <w:vAlign w:val="center"/>
          </w:tcPr>
          <w:p>
            <w:r>
              <w:rPr>
                <w:rFonts w:ascii="Aptos" w:hAnsi="Aptos" w:eastAsia="Aptos"/>
                <w:sz w:val="18"/>
              </w:rPr>
              <w:t>Objective family</w:t>
            </w:r>
          </w:p>
        </w:tc>
        <w:tc>
          <w:tcPr>
            <w:tcW w:type="dxa" w:w="5112"/>
            <w:vAlign w:val="center"/>
          </w:tcPr>
          <w:p>
            <w:r>
              <w:rPr>
                <w:rFonts w:ascii="Aptos" w:hAnsi="Aptos" w:eastAsia="Aptos"/>
                <w:sz w:val="18"/>
              </w:rPr>
              <w:t>Program-specific regional pilot eligibility verification; final key is built after product, program code, and reporting region are calculated</w:t>
            </w: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