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6"/>
        </w:rPr>
        <w:t>Employer Travel Trial Compliance Addendum</w:t>
      </w:r>
    </w:p>
    <w:p>
      <w:pPr>
        <w:jc w:val="center"/>
      </w:pPr>
      <w:r>
        <w:rPr>
          <w:i/>
          <w:color w:val="536271"/>
          <w:sz w:val="18"/>
        </w:rPr>
        <w:t>Approved 2026-06-05 | applies to EMPLOYER_TRIAL_CHECK / FIELD_CONSULTANTS</w:t>
      </w:r>
    </w:p>
    <w:p>
      <w:r>
        <w:rPr>
          <w:b/>
          <w:color w:val="1D3557"/>
          <w:sz w:val="24"/>
        </w:rPr>
        <w:t>Required qualification</w:t>
      </w:r>
    </w:p>
    <w:p>
      <w:r>
        <w:rPr>
          <w:b/>
        </w:rPr>
        <w:t>For verified consulting and engineering employees booking 3-7 night client-site trips.</w:t>
      </w:r>
    </w:p>
    <w:p>
      <w:r>
        <w:rPr>
          <w:b/>
          <w:color w:val="1D3557"/>
          <w:sz w:val="24"/>
        </w:rPr>
        <w:t>Required disclosures</w:t>
      </w:r>
    </w:p>
    <w:p>
      <w:pPr>
        <w:pStyle w:val="ListNumber"/>
      </w:pPr>
      <w:r>
        <w:t>Employer participation and itinerary approval are required.</w:t>
      </w:r>
    </w:p>
    <w:p>
      <w:pPr>
        <w:pStyle w:val="ListNumber"/>
      </w:pPr>
      <w:r>
        <w:t>Carry-on acceptance varies by airline and aircraft.</w:t>
      </w:r>
    </w:p>
    <w:p>
      <w:pPr>
        <w:pStyle w:val="ListNumber"/>
      </w:pPr>
      <w:r>
        <w:t>Laptop, PPE, and tracking accessories are not included.</w:t>
      </w:r>
    </w:p>
    <w:p>
      <w:r>
        <w:rPr>
          <w:b/>
          <w:color w:val="1D3557"/>
          <w:sz w:val="24"/>
        </w:rPr>
        <w:t>Usage control</w:t>
      </w:r>
    </w:p>
    <w:p>
      <w:r>
        <w:t>All three disclosure meanings must remain in customer-facing employer-trial creative. Do not replace them with a generic terms note or a single availability sentence.</w:t>
      </w:r>
    </w:p>
    <w:p>
      <w:r>
        <w:rPr>
          <w:b/>
          <w:color w:val="1D3557"/>
          <w:sz w:val="24"/>
        </w:rPr>
        <w:t>Superseded and future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Text</w:t>
            </w:r>
          </w:p>
        </w:tc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COM-R3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Superseded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Offer eligibility varies by employer.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Do not use alone after 2026-06-04.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COM-R4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Current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Qualification plus the three disclosures above.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Use for the current employer-trial placement.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COM-R5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Scheduled 2026-06-10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Eligibility subject to travel-policy confirmation.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Future language; not active on 2026-06-07.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