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3557"/>
          <w:sz w:val="36"/>
        </w:rPr>
        <w:t>Paid-Social Change Control</w:t>
      </w:r>
    </w:p>
    <w:p>
      <w:pPr>
        <w:jc w:val="center"/>
      </w:pPr>
      <w:r>
        <w:rPr>
          <w:i/>
          <w:color w:val="536271"/>
          <w:sz w:val="18"/>
        </w:rPr>
        <w:t>Effective 2026-06-05 | control date for the 2026-06-07 creative decision</w:t>
      </w:r>
    </w:p>
    <w:p>
      <w:r>
        <w:rPr>
          <w:b/>
          <w:color w:val="1D3557"/>
          <w:sz w:val="24"/>
        </w:rPr>
        <w:t>Reason for update</w:t>
      </w:r>
    </w:p>
    <w:p>
      <w:r>
        <w:t>The employer-sponsored travel pilot moved from planning into paid-social verification. The consumer purchase route in the May request is no longer the controlling route when the winning product's leading segment is Field Consultants.</w:t>
      </w:r>
    </w:p>
    <w:p>
      <w:r>
        <w:rPr>
          <w:b/>
          <w:color w:val="1D3557"/>
          <w:sz w:val="24"/>
        </w:rPr>
        <w:t>Routing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D3557"/>
            <w:vAlign w:val="center"/>
          </w:tcPr>
          <w:p>
            <w:r>
              <w:rPr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5112"/>
            <w:shd w:fill="1D3557"/>
            <w:vAlign w:val="center"/>
          </w:tcPr>
          <w:p>
            <w:r>
              <w:rPr>
                <w:b/>
                <w:color w:val="FFFFFF"/>
                <w:sz w:val="16"/>
              </w:rPr>
              <w:t>Required treatment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Leading segment = Field Consultants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Use audience key FIELD_CONSULTANTS and objective EMPLOYER_TRIAL_CHECK.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Channel and slot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Use the current Instagram Portrait Feed placement active on the creative decision date.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Copy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Use the placement's current copy revision. Do not use a superseded consumer revision or a future scheduled revision.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Content package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One campaign label, one performance badge, one lead benefit, exactly two supporting proofs, one CTA, one qualification line, and exactly three compliance disclosures.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Action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The CTA must check employer travel eligibility. It must not be a buy-now, shop-now, waitlist, generic learn-more, or discount action.</w:t>
            </w:r>
          </w:p>
        </w:tc>
      </w:tr>
    </w:tbl>
    <w:p>
      <w:r>
        <w:rPr>
          <w:b/>
          <w:color w:val="1D3557"/>
          <w:sz w:val="24"/>
        </w:rPr>
        <w:t>Precedence</w:t>
      </w:r>
    </w:p>
    <w:p>
      <w:r>
        <w:t>This change control overrides conflicting objective, CTA, and package-count language in the May request. It does not override product or segment calculations in the close materials.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