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3557"/>
          <w:sz w:val="36"/>
        </w:rPr>
        <w:t>May Paid-Social Request</w:t>
      </w:r>
    </w:p>
    <w:p>
      <w:pPr>
        <w:jc w:val="center"/>
      </w:pPr>
      <w:r>
        <w:rPr>
          <w:i/>
          <w:color w:val="536271"/>
          <w:sz w:val="18"/>
        </w:rPr>
        <w:t>From Jordan Lee, Growth Marketing | dated 2026-05-31</w:t>
      </w:r>
    </w:p>
    <w:p>
      <w:r>
        <w:rPr>
          <w:b/>
        </w:rPr>
        <w:t>To: Creative Production</w:t>
      </w:r>
    </w:p>
    <w:p>
      <w:r>
        <w:rPr>
          <w:b/>
        </w:rPr>
        <w:t>Subject: May NovaPack performance creative</w:t>
      </w:r>
    </w:p>
    <w:p>
      <w:r>
        <w:rPr>
          <w:b/>
          <w:color w:val="1D3557"/>
          <w:sz w:val="24"/>
        </w:rPr>
        <w:t>Original request</w:t>
      </w:r>
    </w:p>
    <w:p>
      <w:r>
        <w:t>Build one customer-facing Instagram portrait-feed creative for the NovaPack product that leads the final May close. Use the close workbook, program eligibility file, credits, and partner-funding ledger rather than unit volume or unadjusted sales.</w:t>
      </w:r>
    </w:p>
    <w:p>
      <w:r>
        <w:t>After the product is identified, use the same campaign-contribution basis to determine the leading customer segment. Route that segment through the current audience and placement materials before selecting copy, CTA, and assets.</w:t>
      </w:r>
    </w:p>
    <w:p>
      <w:r>
        <w:rPr>
          <w:b/>
          <w:color w:val="1D3557"/>
          <w:sz w:val="24"/>
        </w:rPr>
        <w:t>Base creative structure</w:t>
      </w:r>
    </w:p>
    <w:p>
      <w:pPr>
        <w:pStyle w:val="ListBullet"/>
      </w:pPr>
      <w:r>
        <w:t>One product hero and one clearly defined audience.</w:t>
      </w:r>
    </w:p>
    <w:p>
      <w:pPr>
        <w:pStyle w:val="ListBullet"/>
      </w:pPr>
      <w:r>
        <w:t>A small May performance-leader cue without the underlying financial value.</w:t>
      </w:r>
    </w:p>
    <w:p>
      <w:pPr>
        <w:pStyle w:val="ListBullet"/>
      </w:pPr>
      <w:r>
        <w:t>One lead benefit and two supporting proof points from the current approved package.</w:t>
      </w:r>
    </w:p>
    <w:p>
      <w:pPr>
        <w:pStyle w:val="ListBullet"/>
      </w:pPr>
      <w:r>
        <w:t>One CTA using the pattern attached to the current placement objective.</w:t>
      </w:r>
    </w:p>
    <w:p>
      <w:pPr>
        <w:pStyle w:val="ListBullet"/>
      </w:pPr>
      <w:r>
        <w:t>The current NovaPack wordmark and the current Instagram portrait-feed format.</w:t>
      </w:r>
    </w:p>
    <w:p>
      <w:pPr>
        <w:pStyle w:val="ListBullet"/>
      </w:pPr>
      <w:r>
        <w:t>No internal values, identifiers, review states, or close-control notes.</w:t>
      </w:r>
    </w:p>
    <w:p>
      <w:r>
        <w:rPr>
          <w:b/>
          <w:color w:val="1D3557"/>
          <w:sz w:val="24"/>
        </w:rPr>
        <w:t>Control note</w:t>
      </w:r>
    </w:p>
    <w:p>
      <w:r>
        <w:t>This request was written before the June placement and employer-trial update. Apply later effective change-control, compliance, and placement records when they conflict with this note.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