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Data Catalog 4.8</w:t>
        <w:br/>
        <w:t>Release and Scope Notice</w:t>
      </w:r>
    </w:p>
    <w:p>
      <w:pPr>
        <w:jc w:val="center"/>
      </w:pPr>
      <w:r>
        <w:rPr>
          <w:color w:val="1E6775"/>
          <w:sz w:val="26"/>
        </w:rPr>
        <w:t>Effective 30 June 2026</w:t>
      </w:r>
    </w:p>
    <w:p/>
    <w:tbl>
      <w:tblPr>
        <w:tblStyle w:val="TableGrid"/>
        <w:tblW w:type="auto" w:w="0"/>
        <w:jc w:val="center"/>
        <w:tblLook w:firstColumn="1" w:firstRow="1" w:lastColumn="0" w:lastRow="0" w:noHBand="0" w:noVBand="1" w:val="04A0"/>
      </w:tblPr>
      <w:tblGrid>
        <w:gridCol w:w="5026"/>
        <w:gridCol w:w="5026"/>
      </w:tblGrid>
      <w:tr>
        <w:tc>
          <w:tcPr>
            <w:tcW w:type="dxa" w:w="5026"/>
          </w:tcPr>
          <w:p>
            <w:r>
              <w:rPr>
                <w:b/>
              </w:rPr>
              <w:t>Notice ID</w:t>
            </w:r>
          </w:p>
        </w:tc>
        <w:tc>
          <w:tcPr>
            <w:tcW w:type="dxa" w:w="5026"/>
          </w:tcPr>
          <w:p>
            <w:r>
              <w:t>EDO-2026-0618</w:t>
            </w:r>
          </w:p>
        </w:tc>
      </w:tr>
      <w:tr>
        <w:tc>
          <w:tcPr>
            <w:tcW w:type="dxa" w:w="5026"/>
          </w:tcPr>
          <w:p>
            <w:r>
              <w:rPr>
                <w:b/>
              </w:rPr>
              <w:t>Catalog release</w:t>
            </w:r>
          </w:p>
        </w:tc>
        <w:tc>
          <w:tcPr>
            <w:tcW w:type="dxa" w:w="5026"/>
          </w:tcPr>
          <w:p>
            <w:r>
              <w:t>4.8</w:t>
            </w:r>
          </w:p>
        </w:tc>
      </w:tr>
      <w:tr>
        <w:tc>
          <w:tcPr>
            <w:tcW w:type="dxa" w:w="5026"/>
          </w:tcPr>
          <w:p>
            <w:r>
              <w:rPr>
                <w:b/>
              </w:rPr>
              <w:t>Effective date</w:t>
            </w:r>
          </w:p>
        </w:tc>
        <w:tc>
          <w:tcPr>
            <w:tcW w:type="dxa" w:w="5026"/>
          </w:tcPr>
          <w:p>
            <w:r>
              <w:t>30 June 2026</w:t>
            </w:r>
          </w:p>
        </w:tc>
      </w:tr>
      <w:tr>
        <w:tc>
          <w:tcPr>
            <w:tcW w:type="dxa" w:w="5026"/>
          </w:tcPr>
          <w:p>
            <w:r>
              <w:rPr>
                <w:b/>
              </w:rPr>
              <w:t>Target environment</w:t>
            </w:r>
          </w:p>
        </w:tc>
        <w:tc>
          <w:tcPr>
            <w:tcW w:type="dxa" w:w="5026"/>
          </w:tcPr>
          <w:p>
            <w:r>
              <w:t>Production</w:t>
            </w:r>
          </w:p>
        </w:tc>
      </w:tr>
      <w:tr>
        <w:tc>
          <w:tcPr>
            <w:tcW w:type="dxa" w:w="5026"/>
          </w:tcPr>
          <w:p>
            <w:r>
              <w:rPr>
                <w:b/>
              </w:rPr>
              <w:t>Approval state</w:t>
            </w:r>
          </w:p>
        </w:tc>
        <w:tc>
          <w:tcPr>
            <w:tcW w:type="dxa" w:w="5026"/>
          </w:tcPr>
          <w:p>
            <w:r>
              <w:t>Approved</w:t>
            </w:r>
          </w:p>
        </w:tc>
      </w:tr>
      <w:tr>
        <w:tc>
          <w:tcPr>
            <w:tcW w:type="dxa" w:w="5026"/>
          </w:tcPr>
          <w:p>
            <w:r>
              <w:rPr>
                <w:b/>
              </w:rPr>
              <w:t>Issued by</w:t>
            </w:r>
          </w:p>
        </w:tc>
        <w:tc>
          <w:tcPr>
            <w:tcW w:type="dxa" w:w="5026"/>
          </w:tcPr>
          <w:p>
            <w:r>
              <w:t>Enterprise Data Office</w:t>
            </w:r>
          </w:p>
        </w:tc>
      </w:tr>
    </w:tbl>
    <w:p/>
    <w:p>
      <w:pPr>
        <w:pStyle w:val="Heading1"/>
      </w:pPr>
      <w:r>
        <w:t>Purpose of this notice</w:t>
      </w:r>
    </w:p>
    <w:p>
      <w:r>
        <w:t>This notice defines the current-state selection policy and review boundary for architecture artifacts produced from the enterprise data catalog. It does not enumerate the final diagram. Reviewers must reconcile catalog metadata, the approved release change log, key constraints, and the business review narrative rather than treating any single file or current-status flag as an answer list.</w:t>
      </w:r>
    </w:p>
    <w:p>
      <w:pPr>
        <w:pStyle w:val="Heading2"/>
      </w:pPr>
      <w:r>
        <w:t>Current-state eligibility</w:t>
      </w:r>
    </w:p>
    <w:p>
      <w:pPr>
        <w:pStyle w:val="ListBullet"/>
      </w:pPr>
      <w:r>
        <w:t>Environment is Production.</w:t>
      </w:r>
    </w:p>
    <w:p>
      <w:pPr>
        <w:pStyle w:val="ListBullet"/>
      </w:pPr>
      <w:r>
        <w:t>Lifecycle status is Active.</w:t>
      </w:r>
    </w:p>
    <w:p>
      <w:pPr>
        <w:pStyle w:val="ListBullet"/>
      </w:pPr>
      <w:r>
        <w:t>Approval state is Approved.</w:t>
      </w:r>
    </w:p>
    <w:p>
      <w:pPr>
        <w:pStyle w:val="ListBullet"/>
      </w:pPr>
      <w:r>
        <w:t>The object and relationship-driving fields are effective on 30 June 2026.</w:t>
      </w:r>
    </w:p>
    <w:p>
      <w:pPr>
        <w:pStyle w:val="ListBullet"/>
      </w:pPr>
      <w:r>
        <w:t>The catalog record is not superseded by a later effective definition.</w:t>
      </w:r>
    </w:p>
    <w:p>
      <w:r>
        <w:br w:type="page"/>
      </w:r>
    </w:p>
    <w:p>
      <w:pPr>
        <w:pStyle w:val="Heading1"/>
      </w:pPr>
      <w:r>
        <w:t>1. Service-to-cash review boundary</w:t>
      </w:r>
    </w:p>
    <w:p>
      <w:r>
        <w:t>For the June service-platform review, the operational path begins with customer service context and the opening of a service request. It continues through planning, assignment, field execution, labor and material capture, invoicing, and application of a received payment.</w:t>
      </w:r>
    </w:p>
    <w:p>
      <w:r>
        <w:t>The review ends when payment is allocated to an invoice. Post-payment refund, write-off, bank settlement, and treasury activity are outside this artifact.</w:t>
      </w:r>
    </w:p>
    <w:p>
      <w:r>
        <w:t>Current production objects from sales, procurement, warehouse operations, HR, customer communications, analytics, security, administration, and integration remain outside the service-to-cash diagram unless the business review pack explicitly identifies them as part of the operational trace.</w:t>
      </w:r>
    </w:p>
    <w:p>
      <w:r>
        <w:t>A reporting or integration object does not become transactional merely because it references a current operational identifier.</w:t>
      </w:r>
    </w:p>
    <w:p>
      <w:pPr>
        <w:pStyle w:val="Heading2"/>
      </w:pPr>
      <w:r>
        <w:t>Business area order</w:t>
      </w:r>
    </w:p>
    <w:p>
      <w:pPr>
        <w:pStyle w:val="ListBullet"/>
      </w:pPr>
      <w:r>
        <w:t>Customer &amp; Coverage</w:t>
      </w:r>
    </w:p>
    <w:p>
      <w:pPr>
        <w:pStyle w:val="ListBullet"/>
      </w:pPr>
      <w:r>
        <w:t>Planning &amp; Dispatch</w:t>
      </w:r>
    </w:p>
    <w:p>
      <w:pPr>
        <w:pStyle w:val="ListBullet"/>
      </w:pPr>
      <w:r>
        <w:t>Field Execution</w:t>
      </w:r>
    </w:p>
    <w:p>
      <w:pPr>
        <w:pStyle w:val="ListBullet"/>
      </w:pPr>
      <w:r>
        <w:t>Billing &amp; Cash</w:t>
      </w:r>
    </w:p>
    <w:p>
      <w:pPr>
        <w:pStyle w:val="Heading2"/>
      </w:pPr>
      <w:r>
        <w:t>Selection matrix</w:t>
      </w:r>
    </w:p>
    <w:tbl>
      <w:tblPr>
        <w:tblStyle w:val="TableGrid"/>
        <w:tblW w:type="auto" w:w="0"/>
        <w:jc w:val="center"/>
        <w:tblLook w:firstColumn="1" w:firstRow="1" w:lastColumn="0" w:lastRow="0" w:noHBand="0" w:noVBand="1" w:val="04A0"/>
      </w:tblPr>
      <w:tblGrid>
        <w:gridCol w:w="3351"/>
        <w:gridCol w:w="3351"/>
        <w:gridCol w:w="3351"/>
      </w:tblGrid>
      <w:tr>
        <w:tc>
          <w:tcPr>
            <w:tcW w:type="dxa" w:w="3351"/>
          </w:tcPr>
          <w:p>
            <w:r>
              <w:t>Check</w:t>
            </w:r>
          </w:p>
        </w:tc>
        <w:tc>
          <w:tcPr>
            <w:tcW w:type="dxa" w:w="3351"/>
          </w:tcPr>
          <w:p>
            <w:r>
              <w:t>Required condition</w:t>
            </w:r>
          </w:p>
        </w:tc>
        <w:tc>
          <w:tcPr>
            <w:tcW w:type="dxa" w:w="3351"/>
          </w:tcPr>
          <w:p>
            <w:r>
              <w:t>Reason for review</w:t>
            </w:r>
          </w:p>
        </w:tc>
      </w:tr>
      <w:tr>
        <w:tc>
          <w:tcPr>
            <w:tcW w:type="dxa" w:w="3351"/>
          </w:tcPr>
          <w:p>
            <w:r>
              <w:t>Release state</w:t>
            </w:r>
          </w:p>
        </w:tc>
        <w:tc>
          <w:tcPr>
            <w:tcW w:type="dxa" w:w="3351"/>
          </w:tcPr>
          <w:p>
            <w:r>
              <w:t>Production, Active, Approved, effective on 30 Jun 2026</w:t>
            </w:r>
          </w:p>
        </w:tc>
        <w:tc>
          <w:tcPr>
            <w:tcW w:type="dxa" w:w="3351"/>
          </w:tcPr>
          <w:p>
            <w:r>
              <w:t>Removes non-current definitions</w:t>
            </w:r>
          </w:p>
        </w:tc>
      </w:tr>
      <w:tr>
        <w:tc>
          <w:tcPr>
            <w:tcW w:type="dxa" w:w="3351"/>
          </w:tcPr>
          <w:p>
            <w:r>
              <w:t>Object class</w:t>
            </w:r>
          </w:p>
        </w:tc>
        <w:tc>
          <w:tcPr>
            <w:tcW w:type="dxa" w:w="3351"/>
          </w:tcPr>
          <w:p>
            <w:r>
              <w:t>Transactional or required relationship record</w:t>
            </w:r>
          </w:p>
        </w:tc>
        <w:tc>
          <w:tcPr>
            <w:tcW w:type="dxa" w:w="3351"/>
          </w:tcPr>
          <w:p>
            <w:r>
              <w:t>Separates operations from reporting and integration</w:t>
            </w:r>
          </w:p>
        </w:tc>
      </w:tr>
      <w:tr>
        <w:tc>
          <w:tcPr>
            <w:tcW w:type="dxa" w:w="3351"/>
          </w:tcPr>
          <w:p>
            <w:r>
              <w:t>Process fit</w:t>
            </w:r>
          </w:p>
        </w:tc>
        <w:tc>
          <w:tcPr>
            <w:tcW w:type="dxa" w:w="3351"/>
          </w:tcPr>
          <w:p>
            <w:r>
              <w:t>Needed to trace request through payment allocation</w:t>
            </w:r>
          </w:p>
        </w:tc>
        <w:tc>
          <w:tcPr>
            <w:tcW w:type="dxa" w:w="3351"/>
          </w:tcPr>
          <w:p>
            <w:r>
              <w:t>Excludes adjacent enterprise processes</w:t>
            </w:r>
          </w:p>
        </w:tc>
      </w:tr>
      <w:tr>
        <w:tc>
          <w:tcPr>
            <w:tcW w:type="dxa" w:w="3351"/>
          </w:tcPr>
          <w:p>
            <w:r>
              <w:t>Relationship evidence</w:t>
            </w:r>
          </w:p>
        </w:tc>
        <w:tc>
          <w:tcPr>
            <w:tcW w:type="dxa" w:w="3351"/>
          </w:tcPr>
          <w:p>
            <w:r>
              <w:t>Declared FK plus supporting business rule</w:t>
            </w:r>
          </w:p>
        </w:tc>
        <w:tc>
          <w:tcPr>
            <w:tcW w:type="dxa" w:w="3351"/>
          </w:tcPr>
          <w:p>
            <w:r>
              <w:t>Prevents false links from name similarity</w:t>
            </w:r>
          </w:p>
        </w:tc>
      </w:tr>
    </w:tbl>
    <w:p>
      <w:pPr>
        <w:pStyle w:val="Heading1"/>
      </w:pPr>
      <w:r>
        <w:t>2. Relationship and key interpretation</w:t>
      </w:r>
    </w:p>
    <w:p>
      <w:r>
        <w:t>The Field Dictionary is the authoritative source for whether a field is classified as a primary key, alternative key, or foreign key. Names that merely resemble identifiers must not be treated as relationships unless the dictionary identifies the referenced entity and field.</w:t>
      </w:r>
    </w:p>
    <w:p>
      <w:r>
        <w:t>Foreign-key nullability indicates whether the child may exist without the referenced parent. The review narrative should be used to determine parent-side multiplicity and whether a relationship record must remain explicit.</w:t>
      </w:r>
    </w:p>
    <w:p>
      <w:r>
        <w:t>Association records should be retained when they carry dates, quantities, states, roles, proficiency, allocation amounts, or other facts about a relationship.</w:t>
      </w:r>
    </w:p>
    <w:p>
      <w:r>
        <w:t>The Key Constraints sheet should be used to verify identifiers and uniqueness. It is not a diagram inclusion list.</w:t>
      </w:r>
    </w:p>
    <w:p>
      <w:pPr>
        <w:pStyle w:val="Heading2"/>
      </w:pPr>
      <w:r>
        <w:t>Naming and lifecycle guidance</w:t>
      </w:r>
    </w:p>
    <w:p>
      <w:pPr>
        <w:pStyle w:val="ListBullet"/>
      </w:pPr>
      <w:r>
        <w:t>Use the current catalog display name for the effective release.</w:t>
      </w:r>
    </w:p>
    <w:p>
      <w:pPr>
        <w:pStyle w:val="ListBullet"/>
      </w:pPr>
      <w:r>
        <w:t>Do not display retired or future-effective objects as current.</w:t>
      </w:r>
    </w:p>
    <w:p>
      <w:pPr>
        <w:pStyle w:val="ListBullet"/>
      </w:pPr>
      <w:r>
        <w:t>Do not substitute reporting, staging, or integration objects for operational records.</w:t>
      </w:r>
    </w:p>
    <w:p>
      <w:pPr>
        <w:pStyle w:val="ListBullet"/>
      </w:pPr>
      <w:r>
        <w:t>Do not infer relationships from free-text source references or snapshot identifiers.</w:t>
      </w:r>
    </w:p>
    <w:p>
      <w:pPr>
        <w:pStyle w:val="Heading1"/>
      </w:pPr>
      <w:r>
        <w:t>3. Architecture artifact conventions</w:t>
      </w:r>
    </w:p>
    <w:p>
      <w:r>
        <w:t>The architecture artifact should be a single wide landscape ER-style diagram. It should use four domain containers in the business order defined by this notice.</w:t>
      </w:r>
    </w:p>
    <w:p>
      <w:r>
        <w:t>Entity boxes should display the primary key and only the foreign keys used by visible relationships. Large attribute dumps are not required.</w:t>
      </w:r>
    </w:p>
    <w:p>
      <w:r>
        <w:t>Relationship direction and cardinality must be visible at both ends using one consistent notation. Crow's-foot or min/max notation is acceptable.</w:t>
      </w:r>
    </w:p>
    <w:p>
      <w:r>
        <w:t>Bridge records should be positioned between their parent entities where practical so their role in the model is immediately understandable.</w:t>
      </w:r>
    </w:p>
    <w:p>
      <w:r>
        <w:t>The title or subtitle should identify the artifact as the Service-to-Cash production model effective 30 June 2026.</w:t>
      </w:r>
    </w:p>
    <w:p>
      <w:pPr>
        <w:pStyle w:val="Heading2"/>
      </w:pPr>
      <w:r>
        <w:t>Artifact acceptance criteria</w:t>
      </w:r>
    </w:p>
    <w:tbl>
      <w:tblPr>
        <w:tblStyle w:val="TableGrid"/>
        <w:tblW w:type="auto" w:w="0"/>
        <w:jc w:val="center"/>
        <w:tblLook w:firstColumn="1" w:firstRow="1" w:lastColumn="0" w:lastRow="0" w:noHBand="0" w:noVBand="1" w:val="04A0"/>
      </w:tblPr>
      <w:tblGrid>
        <w:gridCol w:w="5026"/>
        <w:gridCol w:w="5026"/>
      </w:tblGrid>
      <w:tr>
        <w:tc>
          <w:tcPr>
            <w:tcW w:type="dxa" w:w="5026"/>
          </w:tcPr>
          <w:p>
            <w:r>
              <w:t>Area</w:t>
            </w:r>
          </w:p>
        </w:tc>
        <w:tc>
          <w:tcPr>
            <w:tcW w:type="dxa" w:w="5026"/>
          </w:tcPr>
          <w:p>
            <w:r>
              <w:t>Acceptance condition</w:t>
            </w:r>
          </w:p>
        </w:tc>
      </w:tr>
      <w:tr>
        <w:tc>
          <w:tcPr>
            <w:tcW w:type="dxa" w:w="5026"/>
          </w:tcPr>
          <w:p>
            <w:r>
              <w:t>Scope</w:t>
            </w:r>
          </w:p>
        </w:tc>
        <w:tc>
          <w:tcPr>
            <w:tcW w:type="dxa" w:w="5026"/>
          </w:tcPr>
          <w:p>
            <w:r>
              <w:t>Only the requested current operational subgraph is active</w:t>
            </w:r>
          </w:p>
        </w:tc>
      </w:tr>
      <w:tr>
        <w:tc>
          <w:tcPr>
            <w:tcW w:type="dxa" w:w="5026"/>
          </w:tcPr>
          <w:p>
            <w:r>
              <w:t>Structure</w:t>
            </w:r>
          </w:p>
        </w:tc>
        <w:tc>
          <w:tcPr>
            <w:tcW w:type="dxa" w:w="5026"/>
          </w:tcPr>
          <w:p>
            <w:r>
              <w:t>Four business sections appear in the approved order</w:t>
            </w:r>
          </w:p>
        </w:tc>
      </w:tr>
      <w:tr>
        <w:tc>
          <w:tcPr>
            <w:tcW w:type="dxa" w:w="5026"/>
          </w:tcPr>
          <w:p>
            <w:r>
              <w:t>Keys</w:t>
            </w:r>
          </w:p>
        </w:tc>
        <w:tc>
          <w:tcPr>
            <w:tcW w:type="dxa" w:w="5026"/>
          </w:tcPr>
          <w:p>
            <w:r>
              <w:t>PKs and visible relationship FKs are readable</w:t>
            </w:r>
          </w:p>
        </w:tc>
      </w:tr>
      <w:tr>
        <w:tc>
          <w:tcPr>
            <w:tcW w:type="dxa" w:w="5026"/>
          </w:tcPr>
          <w:p>
            <w:r>
              <w:t>Relationships</w:t>
            </w:r>
          </w:p>
        </w:tc>
        <w:tc>
          <w:tcPr>
            <w:tcW w:type="dxa" w:w="5026"/>
          </w:tcPr>
          <w:p>
            <w:r>
              <w:t>Direction, optionality, and multiplicity are shown</w:t>
            </w:r>
          </w:p>
        </w:tc>
      </w:tr>
      <w:tr>
        <w:tc>
          <w:tcPr>
            <w:tcW w:type="dxa" w:w="5026"/>
          </w:tcPr>
          <w:p>
            <w:r>
              <w:t>Bridges</w:t>
            </w:r>
          </w:p>
        </w:tc>
        <w:tc>
          <w:tcPr>
            <w:tcW w:type="dxa" w:w="5026"/>
          </w:tcPr>
          <w:p>
            <w:r>
              <w:t>Relationship records remain between their parent entities</w:t>
            </w:r>
          </w:p>
        </w:tc>
      </w:tr>
      <w:tr>
        <w:tc>
          <w:tcPr>
            <w:tcW w:type="dxa" w:w="5026"/>
          </w:tcPr>
          <w:p>
            <w:r>
              <w:t>Context</w:t>
            </w:r>
          </w:p>
        </w:tc>
        <w:tc>
          <w:tcPr>
            <w:tcW w:type="dxa" w:w="5026"/>
          </w:tcPr>
          <w:p>
            <w:r>
              <w:t>Title identifies process, production state, and effective date</w:t>
            </w:r>
          </w:p>
        </w:tc>
      </w:tr>
    </w:tbl>
    <w:p>
      <w:pPr>
        <w:pStyle w:val="Heading2"/>
      </w:pPr>
      <w:r>
        <w:t>Approval note</w:t>
      </w:r>
    </w:p>
    <w:p>
      <w:r>
        <w:t>This notice approves the selection and presentation rules only. The final entity and relationship set must be established from the catalog and service-model review pack.</w:t>
      </w:r>
    </w:p>
    <w:p>
      <w:r>
        <w:br w:type="page"/>
      </w:r>
    </w:p>
    <w:p>
      <w:pPr>
        <w:pStyle w:val="Heading1"/>
      </w:pPr>
      <w:r>
        <w:t>4. Release reconciliation rules</w:t>
      </w:r>
    </w:p>
    <w:p>
      <w:r>
        <w:t>Use an as-of date of 30 June 2026. An entity or relationship-driving field is current only when it is Production, Active, Approved, effective on or before that date, not ended before that date, and not superseded by a later approved 4.8 decision.</w:t>
      </w:r>
    </w:p>
    <w:p>
      <w:r>
        <w:t>Apply evidence in this order when sources conflict: this scope notice; approved release-change entries effective by 30 June 2026; the current Field Dictionary and Key Constraints; then workshop narrative. Pending 4.9 proposals and historical workshop shortcuts are not part of the production model.</w:t>
      </w:r>
    </w:p>
    <w:p>
      <w:r>
        <w:t>Field lifecycle is evaluated independently from entity lifecycle. A current entity may contain a retired direct foreign key or a future proposed foreign key; those fields must not be shown as current relationships.</w:t>
      </w:r>
    </w:p>
    <w:p>
      <w:r>
        <w:t>The June review includes operational control and evidence records that materially establish dispatch timing, work close readiness, visit sign-off, or invoice amount before cash allocation. Current comments, attachments, delivery records, photos, expense records, payment-method records, and downstream finance records remain outside unless the review pack makes them relationship-driving.</w:t>
      </w:r>
    </w:p>
    <w:p>
      <w:r>
        <w:t>For retained relationship records, show the current PK and FKs plus only the one business fact specifically required by the final review note. Do not copy every descriptive, status, timestamp, or audit field.</w:t>
      </w:r>
    </w:p>
    <w:p>
      <w:pPr>
        <w:pStyle w:val="Heading2"/>
      </w:pPr>
      <w:r>
        <w:t>Reconciliation acceptance checks</w:t>
      </w:r>
    </w:p>
    <w:tbl>
      <w:tblPr>
        <w:tblStyle w:val="TableGrid"/>
        <w:tblW w:type="auto" w:w="0"/>
        <w:tblLook w:firstColumn="1" w:firstRow="1" w:lastColumn="0" w:lastRow="0" w:noHBand="0" w:noVBand="1" w:val="04A0"/>
      </w:tblPr>
      <w:tblGrid>
        <w:gridCol w:w="5026"/>
        <w:gridCol w:w="5026"/>
      </w:tblGrid>
      <w:tr>
        <w:tc>
          <w:tcPr>
            <w:tcW w:type="dxa" w:w="5026"/>
          </w:tcPr>
          <w:p>
            <w:r>
              <w:t>Check</w:t>
            </w:r>
          </w:p>
        </w:tc>
        <w:tc>
          <w:tcPr>
            <w:tcW w:type="dxa" w:w="5026"/>
          </w:tcPr>
          <w:p>
            <w:r>
              <w:t>Required condition</w:t>
            </w:r>
          </w:p>
        </w:tc>
      </w:tr>
      <w:tr>
        <w:tc>
          <w:tcPr>
            <w:tcW w:type="dxa" w:w="5026"/>
          </w:tcPr>
          <w:p>
            <w:r>
              <w:t>Temporal validity</w:t>
            </w:r>
          </w:p>
        </w:tc>
        <w:tc>
          <w:tcPr>
            <w:tcW w:type="dxa" w:w="5026"/>
          </w:tcPr>
          <w:p>
            <w:r>
              <w:t>No retired field ending before 30 June 2026 and no future or pending 4.9 field is active in the diagram.</w:t>
            </w:r>
          </w:p>
        </w:tc>
      </w:tr>
      <w:tr>
        <w:tc>
          <w:tcPr>
            <w:tcW w:type="dxa" w:w="5026"/>
          </w:tcPr>
          <w:p>
            <w:r>
              <w:t>Relationship authority</w:t>
            </w:r>
          </w:p>
        </w:tc>
        <w:tc>
          <w:tcPr>
            <w:tcW w:type="dxa" w:w="5026"/>
          </w:tcPr>
          <w:p>
            <w:r>
              <w:t>Approved bridge or child records replace superseded direct links.</w:t>
            </w:r>
          </w:p>
        </w:tc>
      </w:tr>
      <w:tr>
        <w:tc>
          <w:tcPr>
            <w:tcW w:type="dxa" w:w="5026"/>
          </w:tcPr>
          <w:p>
            <w:r>
              <w:t>Operational controls</w:t>
            </w:r>
          </w:p>
        </w:tc>
        <w:tc>
          <w:tcPr>
            <w:tcW w:type="dxa" w:w="5026"/>
          </w:tcPr>
          <w:p>
            <w:r>
              <w:t>Dispatch timing, close readiness, completion evidence, and pre-allocation invoice changes remain traceable.</w:t>
            </w:r>
          </w:p>
        </w:tc>
      </w:tr>
      <w:tr>
        <w:tc>
          <w:tcPr>
            <w:tcW w:type="dxa" w:w="5026"/>
          </w:tcPr>
          <w:p>
            <w:r>
              <w:t>Selective fields</w:t>
            </w:r>
          </w:p>
        </w:tc>
        <w:tc>
          <w:tcPr>
            <w:tcW w:type="dxa" w:w="5026"/>
          </w:tcPr>
          <w:p>
            <w:r>
              <w:t>PKs, current visible FKs, and the specifically required business facts are shown; unrelated attributes are omitted.</w:t>
            </w:r>
          </w:p>
        </w:tc>
      </w:tr>
    </w:tbl>
    <w:sectPr w:rsidR="00FC693F" w:rsidRPr="0006063C" w:rsidSect="00034616">
      <w:headerReference w:type="default" r:id="rId9"/>
      <w:footerReference w:type="default" r:id="rId10"/>
      <w:pgSz w:w="12240" w:h="15840"/>
      <w:pgMar w:top="950" w:right="1094" w:bottom="950"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Approved notice | Catalog release 4.8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6969"/>
        <w:sz w:val="16"/>
      </w:rPr>
      <w:t>Northstar Enterprise Data Office | Release and Scope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B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677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