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Service-to-Cash Data Model</w:t>
        <w:br/>
        <w:t>Architecture Review Pack</w:t>
      </w:r>
    </w:p>
    <w:p>
      <w:pPr>
        <w:jc w:val="center"/>
      </w:pPr>
      <w:r>
        <w:rPr>
          <w:color w:val="1E6775"/>
          <w:sz w:val="25"/>
        </w:rPr>
        <w:t>Customer request, planning, field execution, invoicing, and cash application</w:t>
      </w:r>
    </w:p>
    <w:p/>
    <w:tbl>
      <w:tblPr>
        <w:tblStyle w:val="TableGrid"/>
        <w:tblW w:type="auto" w:w="0"/>
        <w:jc w:val="center"/>
        <w:tblLook w:firstColumn="1" w:firstRow="1" w:lastColumn="0" w:lastRow="0" w:noHBand="0" w:noVBand="1" w:val="04A0"/>
      </w:tblPr>
      <w:tblGrid>
        <w:gridCol w:w="5026"/>
        <w:gridCol w:w="5026"/>
      </w:tblGrid>
      <w:tr>
        <w:tc>
          <w:tcPr>
            <w:tcW w:type="dxa" w:w="5026"/>
            <w:vAlign w:val="center"/>
          </w:tcPr>
          <w:p>
            <w:r>
              <w:rPr>
                <w:b/>
              </w:rPr>
              <w:t>Review sponsor</w:t>
            </w:r>
          </w:p>
        </w:tc>
        <w:tc>
          <w:tcPr>
            <w:tcW w:type="dxa" w:w="5026"/>
            <w:vAlign w:val="center"/>
          </w:tcPr>
          <w:p>
            <w:r>
              <w:t>Service Platform Architecture</w:t>
            </w:r>
          </w:p>
        </w:tc>
      </w:tr>
      <w:tr>
        <w:tc>
          <w:tcPr>
            <w:tcW w:type="dxa" w:w="5026"/>
            <w:vAlign w:val="center"/>
          </w:tcPr>
          <w:p>
            <w:r>
              <w:rPr>
                <w:b/>
              </w:rPr>
              <w:t>Business owners</w:t>
            </w:r>
          </w:p>
        </w:tc>
        <w:tc>
          <w:tcPr>
            <w:tcW w:type="dxa" w:w="5026"/>
            <w:vAlign w:val="center"/>
          </w:tcPr>
          <w:p>
            <w:r>
              <w:t>Customer Operations, Field Operations, Billing Operations</w:t>
            </w:r>
          </w:p>
        </w:tc>
      </w:tr>
      <w:tr>
        <w:tc>
          <w:tcPr>
            <w:tcW w:type="dxa" w:w="5026"/>
            <w:vAlign w:val="center"/>
          </w:tcPr>
          <w:p>
            <w:r>
              <w:rPr>
                <w:b/>
              </w:rPr>
              <w:t>Catalog release</w:t>
            </w:r>
          </w:p>
        </w:tc>
        <w:tc>
          <w:tcPr>
            <w:tcW w:type="dxa" w:w="5026"/>
            <w:vAlign w:val="center"/>
          </w:tcPr>
          <w:p>
            <w:r>
              <w:t>Enterprise data catalog 4.8</w:t>
            </w:r>
          </w:p>
        </w:tc>
      </w:tr>
      <w:tr>
        <w:tc>
          <w:tcPr>
            <w:tcW w:type="dxa" w:w="5026"/>
            <w:vAlign w:val="center"/>
          </w:tcPr>
          <w:p>
            <w:r>
              <w:rPr>
                <w:b/>
              </w:rPr>
              <w:t>Review date</w:t>
            </w:r>
          </w:p>
        </w:tc>
        <w:tc>
          <w:tcPr>
            <w:tcW w:type="dxa" w:w="5026"/>
            <w:vAlign w:val="center"/>
          </w:tcPr>
          <w:p>
            <w:r>
              <w:t>26 June 2026</w:t>
            </w:r>
          </w:p>
        </w:tc>
      </w:tr>
      <w:tr>
        <w:tc>
          <w:tcPr>
            <w:tcW w:type="dxa" w:w="5026"/>
            <w:vAlign w:val="center"/>
          </w:tcPr>
          <w:p>
            <w:r>
              <w:rPr>
                <w:b/>
              </w:rPr>
              <w:t>Target effective date</w:t>
            </w:r>
          </w:p>
        </w:tc>
        <w:tc>
          <w:tcPr>
            <w:tcW w:type="dxa" w:w="5026"/>
            <w:vAlign w:val="center"/>
          </w:tcPr>
          <w:p>
            <w:r>
              <w:t>30 June 2026</w:t>
            </w:r>
          </w:p>
        </w:tc>
      </w:tr>
      <w:tr>
        <w:tc>
          <w:tcPr>
            <w:tcW w:type="dxa" w:w="5026"/>
            <w:vAlign w:val="center"/>
          </w:tcPr>
          <w:p>
            <w:r>
              <w:rPr>
                <w:b/>
              </w:rPr>
              <w:t>Document status</w:t>
            </w:r>
          </w:p>
        </w:tc>
        <w:tc>
          <w:tcPr>
            <w:tcW w:type="dxa" w:w="5026"/>
            <w:vAlign w:val="center"/>
          </w:tcPr>
          <w:p>
            <w:r>
              <w:t>Workshop comments incorporated</w:t>
            </w:r>
          </w:p>
        </w:tc>
      </w:tr>
    </w:tbl>
    <w:p/>
    <w:p>
      <w:r>
        <w:rPr>
          <w:b/>
        </w:rPr>
        <w:t xml:space="preserve">Purpose. </w:t>
      </w:r>
      <w:r>
        <w:t>This pack records the business relationships and modeling decisions needed to review the current service-to-cash data model. It is intentionally broader than a finished diagram and includes nearby business processes, historical terminology, and cross-team questions.</w:t>
      </w:r>
    </w:p>
    <w:p>
      <w:r>
        <w:t>How to use the sources. The enterprise catalog supplies entity and field metadata. This review pack mixes approved decisions with earlier workshop discussion, nearby process context, and historical terminology. The separate release notice and approved change log determine which statements and fields are current for 30 June 2026.</w:t>
      </w:r>
    </w:p>
    <w:p>
      <w:r>
        <w:br w:type="page"/>
      </w:r>
    </w:p>
    <w:p>
      <w:pPr>
        <w:pStyle w:val="Heading1"/>
      </w:pPr>
      <w:r>
        <w:t>1. Review boundary and process narrative</w:t>
      </w:r>
    </w:p>
    <w:p>
      <w:r>
        <w:t>The operational story starts when an existing customer or one of its contacts reports a service need at a physical location. The request is assessed, planned into one or more units of work, assigned to qualified technicians, executed through field visits, and converted into billable charges. The reviewed path ends when a received payment is applied to an invoice.</w:t>
      </w:r>
    </w:p>
    <w:p>
      <w:r>
        <w:t>The enterprise catalog contains many records that touch this story without belonging to the core diagram. Procurement replenishes parts, the CRM team manages sales opportunities, HR manages employment and training, customer communications deliver messages, and analytics teams publish snapshots and scorecards. Those records are valid enterprise data, but the architecture review is not intended to reproduce the whole platform.</w:t>
      </w:r>
    </w:p>
    <w:p>
      <w:r>
        <w:t>The process boundary should therefore be interpreted from business traceability: a reviewer should be able to start from a request and follow the records that establish customer context, coverage, planned work, actual attendance, labor and material consumption, invoicing, and application of payment. A shared identifier or a current production status alone does not make an adjacent record part of that trace.</w:t>
      </w:r>
    </w:p>
    <w:p>
      <w:r>
        <w:t>The target is a logical ER-style view rather than a physical DDL diagram. Each visible entity needs enough key information to explain its relationships, but operational attributes such as notes, descriptions, amounts, statuses, and timestamps do not all need to be copied into the image.</w:t>
      </w:r>
    </w:p>
    <w:p>
      <w:pPr>
        <w:pStyle w:val="Heading2"/>
      </w:pPr>
      <w:r>
        <w:t>Review notes</w:t>
      </w:r>
    </w:p>
    <w:p>
      <w:pPr>
        <w:pStyle w:val="ListBullet"/>
      </w:pPr>
      <w:r>
        <w:t>Should procurement records be shown because parts are consumed during service? No; replenishment is an adjacent process.</w:t>
      </w:r>
    </w:p>
    <w:p>
      <w:pPr>
        <w:pStyle w:val="ListBullet"/>
      </w:pPr>
      <w:r>
        <w:t>Should refund processing be shown after payment? No; the review ends with receipt allocation.</w:t>
      </w:r>
    </w:p>
    <w:p>
      <w:pPr>
        <w:pStyle w:val="ListBullet"/>
      </w:pPr>
      <w:r>
        <w:t>Should reporting facts be shown because they carry work-order and invoice identifiers? No; they are downstream analytical structures.</w:t>
      </w:r>
    </w:p>
    <w:p>
      <w:pPr>
        <w:pStyle w:val="ListBullet"/>
      </w:pPr>
      <w:r>
        <w:t>Should association records be hidden to simplify the image? No when they retain their own operational meaning or attributes.</w:t>
      </w:r>
    </w:p>
    <w:p/>
    <w:p>
      <w:pPr>
        <w:pStyle w:val="Heading1"/>
      </w:pPr>
      <w:r>
        <w:t>2. Customer identity, contacts, and locations</w:t>
      </w:r>
    </w:p>
    <w:p>
      <w:r>
        <w:t>Customer is the commercial party receiving service. It remains the root for account-level contacts, physical service locations, and service agreements. A customer can be created before any contact, location, or agreement is present.</w:t>
      </w:r>
    </w:p>
    <w:p>
      <w:r>
        <w:t>Contacts are separate records because several people may report issues, approve work, or receive updates for the same customer. Every contact belongs to one customer, while a customer can have no contacts or many. A service request may record the contact who reported the issue, but requests created by monitoring or an internal service desk can have no reporting contact.</w:t>
      </w:r>
    </w:p>
    <w:p>
      <w:r>
        <w:t>A service location is a physical destination used by dispatch and asset registration. Every current location belongs to one customer; a customer can operate many locations. Location contacts and access windows exist in the catalog because field teams need site-specific instructions, but those records support access management rather than the central service-to-cash relationship chain.</w:t>
      </w:r>
    </w:p>
    <w:p>
      <w:r>
        <w:t>Customer groups, preferences, account-manager assignments, and service regions are active operational concepts. They are useful to routing, segmentation, and customer management, but none is required to trace a specific service request through work and payment.</w:t>
      </w:r>
    </w:p>
    <w:p>
      <w:r>
        <w:t>An earlier location migration used a different customer-site structure in historical integration files. The current entity and field metadata should be used to distinguish the production location record from migration or staging objects.</w:t>
      </w:r>
    </w:p>
    <w:p>
      <w:pPr>
        <w:pStyle w:val="Heading2"/>
      </w:pPr>
      <w:r>
        <w:t>Review notes</w:t>
      </w:r>
    </w:p>
    <w:p>
      <w:pPr>
        <w:pStyle w:val="ListBullet"/>
      </w:pPr>
      <w:r>
        <w:t>One Customer can have zero or many Customer Contacts; each Customer Contact belongs to one Customer.</w:t>
      </w:r>
    </w:p>
    <w:p>
      <w:pPr>
        <w:pStyle w:val="ListBullet"/>
      </w:pPr>
      <w:r>
        <w:t>One Customer can have zero or many Service Locations; each Service Location belongs to one Customer.</w:t>
      </w:r>
    </w:p>
    <w:p>
      <w:pPr>
        <w:pStyle w:val="ListBullet"/>
      </w:pPr>
      <w:r>
        <w:t>A Service Request can identify zero or one reporting Customer Contact; one Contact can report many requests over time.</w:t>
      </w:r>
    </w:p>
    <w:p/>
    <w:p>
      <w:pPr>
        <w:pStyle w:val="Heading1"/>
      </w:pPr>
      <w:r>
        <w:t>3. Agreements, installed assets, and coverage</w:t>
      </w:r>
    </w:p>
    <w:p>
      <w:r>
        <w:t>Service agreements are owned by the customer rather than by a location. This allows one agreement to cover work performed across several sites. A customer may have no agreement, one agreement, or several agreements for different equipment families and response commitments.</w:t>
      </w:r>
    </w:p>
    <w:p>
      <w:r>
        <w:t>Assets are registered at the location where they are installed. A location can exist before any asset is registered, and a location can host many assets. Each current asset resolves to one service location.</w:t>
      </w:r>
    </w:p>
    <w:p>
      <w:r>
        <w:t>Coverage of installed equipment is not represented by placing the agreement identifier directly on every asset. Coverage has its own record because start and end dates, coverage level, and exceptions may differ by asset. An agreement can cover many assets, and an asset can appear in different agreements over its lifecycle. The coverage record retains the two parent keys.</w:t>
      </w:r>
    </w:p>
    <w:p>
      <w:r>
        <w:t>Agreement revisions, price books, entitlements, warranty records, meter readings, and asset documents are all natural records within the same business area. They should not be assumed to belong in the core diagram merely because they are active and share agreement or asset identifiers.</w:t>
      </w:r>
    </w:p>
    <w:p>
      <w:r>
        <w:t>A request may reference an applicable agreement after coverage is resolved. Ad-hoc work remains valid, so the agreement reference on a request is optional. The physical service location, by contrast, is required.</w:t>
      </w:r>
    </w:p>
    <w:p>
      <w:pPr>
        <w:pStyle w:val="Heading2"/>
      </w:pPr>
      <w:r>
        <w:t>Review notes</w:t>
      </w:r>
    </w:p>
    <w:p>
      <w:pPr>
        <w:pStyle w:val="ListBullet"/>
      </w:pPr>
      <w:r>
        <w:t>Customer owns Service Agreement; location does not.</w:t>
      </w:r>
    </w:p>
    <w:p>
      <w:pPr>
        <w:pStyle w:val="ListBullet"/>
      </w:pPr>
      <w:r>
        <w:t>Service Location hosts Asset.</w:t>
      </w:r>
    </w:p>
    <w:p>
      <w:pPr>
        <w:pStyle w:val="ListBullet"/>
      </w:pPr>
      <w:r>
        <w:t>Agreement Asset remains visible because it stores coverage terms between Agreement and Asset.</w:t>
      </w:r>
    </w:p>
    <w:p>
      <w:pPr>
        <w:pStyle w:val="ListBullet"/>
      </w:pPr>
      <w:r>
        <w:t>A request has exactly one Service Location and may have zero or one Service Agreement.</w:t>
      </w:r>
    </w:p>
    <w:p/>
    <w:p>
      <w:pPr>
        <w:pStyle w:val="Heading1"/>
      </w:pPr>
      <w:r>
        <w:t>4. Request intake and creation of work</w:t>
      </w:r>
    </w:p>
    <w:p>
      <w:r>
        <w:t>The service request captures the reported need. It records the destination location, can record the reporting contact, and can reference the agreement used for coverage. The request does not directly hold the technician, part, invoice, or payment that may appear later in the process.</w:t>
      </w:r>
    </w:p>
    <w:p>
      <w:r>
        <w:t>Planning converts a request into executable work. A request may remain open before planning begins, and a complex issue can produce several work orders such as diagnosis, return repair, and commissioning. Each work order retains the request key so execution and billing remain traceable to intake.</w:t>
      </w:r>
    </w:p>
    <w:p>
      <w:r>
        <w:t>Comments, attachments, SLA events, and escalation cases enrich the request record. They are valid parts of case management, but the architecture team agreed that they would make the core relationship diagram harder to review without improving the service-to-cash trace.</w:t>
      </w:r>
    </w:p>
    <w:p>
      <w:r>
        <w:t>Work-order checklists and dependencies support execution planning. Route plans, dispatch boards, and dispatch slots support scheduling. These records should remain in their own planning views rather than being added to the central ER diagram.</w:t>
      </w:r>
    </w:p>
    <w:p>
      <w:r>
        <w:t>A direct link from request to invoice would skip the executable work record and would make it difficult to explain which work generated the charge. The reviewed billing trace starts from Work Order.</w:t>
      </w:r>
    </w:p>
    <w:p>
      <w:pPr>
        <w:pStyle w:val="Heading2"/>
      </w:pPr>
      <w:r>
        <w:t>Review notes</w:t>
      </w:r>
    </w:p>
    <w:p>
      <w:pPr>
        <w:pStyle w:val="ListBullet"/>
      </w:pPr>
      <w:r>
        <w:t>One Service Location can receive zero or many Service Requests.</w:t>
      </w:r>
    </w:p>
    <w:p>
      <w:pPr>
        <w:pStyle w:val="ListBullet"/>
      </w:pPr>
      <w:r>
        <w:t>One Service Agreement can be referenced by zero or many Service Requests; each Request has zero or one Agreement.</w:t>
      </w:r>
    </w:p>
    <w:p>
      <w:pPr>
        <w:pStyle w:val="ListBullet"/>
      </w:pPr>
      <w:r>
        <w:t>One Service Request can produce zero or many Work Orders; each Work Order belongs to one Request.</w:t>
      </w:r>
    </w:p>
    <w:p/>
    <w:p>
      <w:pPr>
        <w:pStyle w:val="Heading1"/>
      </w:pPr>
      <w:r>
        <w:t>5. Technician assignment and capability</w:t>
      </w:r>
    </w:p>
    <w:p>
      <w:r>
        <w:t>The work order does not store a single current technician as the complete assignment history. Dispatch may replace a technician, add a second technician, or record different roles. Assignment therefore has its own record with work-order and technician keys plus timestamps, role, and state.</w:t>
      </w:r>
    </w:p>
    <w:p>
      <w:r>
        <w:t>A work order can have no assignment while waiting in the dispatch queue, or many assignment records over time. A technician can receive assignments to many work orders. The association record is operational evidence and should remain visible rather than being flattened into a direct many-to-many line.</w:t>
      </w:r>
    </w:p>
    <w:p>
      <w:r>
        <w:t>Skills are maintained independently from technicians. Each technician may hold several skills, and the same skill can be held by many technicians. The technician-skill record carries proficiency and validity dates, so it is also a meaningful association entity.</w:t>
      </w:r>
    </w:p>
    <w:p>
      <w:r>
        <w:t>Technician availability, absence, territory, shifts, employment assignments, training enrollments, and certifications all influence dispatch decisions. They are legitimate workforce records, but the current diagram only needs the capability record that explains skill matching inside the service model.</w:t>
      </w:r>
    </w:p>
    <w:p>
      <w:r>
        <w:t>Assignment is planning intent; it is not proof that the technician attended the site. Actual attendance is recorded separately as a visit.</w:t>
      </w:r>
    </w:p>
    <w:p>
      <w:pPr>
        <w:pStyle w:val="Heading2"/>
      </w:pPr>
      <w:r>
        <w:t>Review notes</w:t>
      </w:r>
    </w:p>
    <w:p>
      <w:pPr>
        <w:pStyle w:val="ListBullet"/>
      </w:pPr>
      <w:r>
        <w:t>Work Order Assignment connects Work Order and Technician.</w:t>
      </w:r>
    </w:p>
    <w:p>
      <w:pPr>
        <w:pStyle w:val="ListBullet"/>
      </w:pPr>
      <w:r>
        <w:t>Technician Skill connects Technician and Skill.</w:t>
      </w:r>
    </w:p>
    <w:p>
      <w:pPr>
        <w:pStyle w:val="ListBullet"/>
      </w:pPr>
      <w:r>
        <w:t>Both records can have many rows for either parent over time.</w:t>
      </w:r>
    </w:p>
    <w:p/>
    <w:p>
      <w:pPr>
        <w:pStyle w:val="Heading1"/>
      </w:pPr>
      <w:r>
        <w:t>6. Visits, notes, and actual attendance</w:t>
      </w:r>
    </w:p>
    <w:p>
      <w:r>
        <w:t>A visit records actual field attendance against one work order and one performing technician. A work order can require several visits, and a technician performs many visits over time.</w:t>
      </w:r>
    </w:p>
    <w:p>
      <w:r>
        <w:t>Visits are separate from assignments because plans change. A technician may be assigned but never attend, or a different technician may complete a later visit. The model must preserve both the planning relationship and the actual attendance relationship.</w:t>
      </w:r>
    </w:p>
    <w:p>
      <w:r>
        <w:t>Visit notes are dependent chronological records. Every note belongs to one visit; a visit can close without a note or accumulate many notes. Photos, signatures, diagnostic readings, inspection responses, and safety checks also belong to execution workflows, but they are not required for the central trace.</w:t>
      </w:r>
    </w:p>
    <w:p>
      <w:r>
        <w:t>Remote support sessions and field exceptions can reference work orders. Those records are useful for specialized reviews but do not replace the visit entity in the main field-execution model.</w:t>
      </w:r>
    </w:p>
    <w:p>
      <w:r>
        <w:t>The enterprise catalog also contains operational quality facts and analytical visit scorecards. Those reporting objects should not be presented as transactional children.</w:t>
      </w:r>
    </w:p>
    <w:p>
      <w:pPr>
        <w:pStyle w:val="Heading2"/>
      </w:pPr>
      <w:r>
        <w:t>Review notes</w:t>
      </w:r>
    </w:p>
    <w:p>
      <w:pPr>
        <w:pStyle w:val="ListBullet"/>
      </w:pPr>
      <w:r>
        <w:t>One Work Order can have zero or many Visits; each Visit belongs to one Work Order.</w:t>
      </w:r>
    </w:p>
    <w:p>
      <w:pPr>
        <w:pStyle w:val="ListBullet"/>
      </w:pPr>
      <w:r>
        <w:t>One Technician can perform zero or many Visits; each Visit records one Technician.</w:t>
      </w:r>
    </w:p>
    <w:p>
      <w:pPr>
        <w:pStyle w:val="ListBullet"/>
      </w:pPr>
      <w:r>
        <w:t>One Visit can contain zero or many Visit Notes; each Visit Note belongs to one Visit.</w:t>
      </w:r>
    </w:p>
    <w:p/>
    <w:p>
      <w:pPr>
        <w:pStyle w:val="Heading1"/>
      </w:pPr>
      <w:r>
        <w:t>7. Assets serviced during work</w:t>
      </w:r>
    </w:p>
    <w:p>
      <w:r>
        <w:t>The asset registered at a service location is not automatically the asset serviced on every work order at that location. The actual equipment involved is recorded when work is planned or executed.</w:t>
      </w:r>
    </w:p>
    <w:p>
      <w:r>
        <w:t>A work order can involve several assets, and the same asset can appear on many work orders during its lifecycle. The work-order-asset record retains the two keys and can also record the role of the asset and the service outcome.</w:t>
      </w:r>
    </w:p>
    <w:p>
      <w:r>
        <w:t>A direct Work Order-to-Asset many-to-many connector would hide this operational record. The bridge should remain visible in an ER-style review.</w:t>
      </w:r>
    </w:p>
    <w:p>
      <w:r>
        <w:t>Inspection cases, asset condition history, maintenance events, warranty claims, calibration records, component structures, and asset relationships are all valid asset-lifecycle records. They belong to adjacent asset-management views unless they are specifically needed to trace the requested work.</w:t>
      </w:r>
    </w:p>
    <w:p>
      <w:r>
        <w:t>Agreement Asset and Work Order Asset are different records: the first describes coverage, while the second describes equipment involved in a particular unit of work.</w:t>
      </w:r>
    </w:p>
    <w:p>
      <w:pPr>
        <w:pStyle w:val="Heading2"/>
      </w:pPr>
      <w:r>
        <w:t>Review notes</w:t>
      </w:r>
    </w:p>
    <w:p>
      <w:pPr>
        <w:pStyle w:val="ListBullet"/>
      </w:pPr>
      <w:r>
        <w:t>Service Agreement and Asset meet through Agreement Asset.</w:t>
      </w:r>
    </w:p>
    <w:p>
      <w:pPr>
        <w:pStyle w:val="ListBullet"/>
      </w:pPr>
      <w:r>
        <w:t>Work Order and Asset meet through Work Order Asset.</w:t>
      </w:r>
    </w:p>
    <w:p>
      <w:pPr>
        <w:pStyle w:val="ListBullet"/>
      </w:pPr>
      <w:r>
        <w:t>The two bridge records should not be merged or substituted for one another.</w:t>
      </w:r>
    </w:p>
    <w:p/>
    <w:p>
      <w:pPr>
        <w:pStyle w:val="Heading1"/>
      </w:pPr>
      <w:r>
        <w:t>8. Parts usage and adjacent inventory processes</w:t>
      </w:r>
    </w:p>
    <w:p>
      <w:r>
        <w:t>Part is the reusable catalog record for a service item. Parts Usage records the quantity and cost consumed by a specific work order. A work order can consume several parts, and the same part can be used by many work orders.</w:t>
      </w:r>
    </w:p>
    <w:p>
      <w:r>
        <w:t>The usage record is not a warehouse balance. It represents consumption during service. Warehouse Stock, Stock Reservation, Van Stock, Stock Transfer, Purchase Order, Goods Receipt, Supplier, and Return to Vendor are valid records in the larger materials ecosystem, but they trace replenishment and custody rather than the requested service-to-cash path.</w:t>
      </w:r>
    </w:p>
    <w:p>
      <w:r>
        <w:t>Part Return can reference an earlier usage transaction, and price or cost data can be summarized in analytical facts. Those records are not required to establish that a work order consumed a catalog part.</w:t>
      </w:r>
    </w:p>
    <w:p>
      <w:r>
        <w:t>A direct Work Order-to-Part line would discard quantity, cost, and usage status. Parts Usage must remain visible as the transaction between the two parents.</w:t>
      </w:r>
    </w:p>
    <w:p>
      <w:r>
        <w:t>The data catalog contains more than one record with part identifiers because procurement, inventory, field service, and analytics all reuse the catalog. Scope must be determined from business purpose, not from a shared key name.</w:t>
      </w:r>
    </w:p>
    <w:p>
      <w:pPr>
        <w:pStyle w:val="Heading2"/>
      </w:pPr>
      <w:r>
        <w:t>Review notes</w:t>
      </w:r>
    </w:p>
    <w:p>
      <w:pPr>
        <w:pStyle w:val="ListBullet"/>
      </w:pPr>
      <w:r>
        <w:t>One Work Order can have zero or many Parts Usage records.</w:t>
      </w:r>
    </w:p>
    <w:p>
      <w:pPr>
        <w:pStyle w:val="ListBullet"/>
      </w:pPr>
      <w:r>
        <w:t>One Part can appear in zero or many Parts Usage records.</w:t>
      </w:r>
    </w:p>
    <w:p>
      <w:pPr>
        <w:pStyle w:val="ListBullet"/>
      </w:pPr>
      <w:r>
        <w:t>Each Parts Usage record belongs to exactly one Work Order and one Part.</w:t>
      </w:r>
    </w:p>
    <w:p/>
    <w:p>
      <w:pPr>
        <w:pStyle w:val="Heading1"/>
      </w:pPr>
      <w:r>
        <w:t>9. Labor time and workforce context</w:t>
      </w:r>
    </w:p>
    <w:p>
      <w:r>
        <w:t>Time Entry captures technician labor charged or reported against a work order. Each time entry identifies one work order and one technician. A work order can accumulate many time entries, and a technician records time across many work orders.</w:t>
      </w:r>
    </w:p>
    <w:p>
      <w:r>
        <w:t>Time Entry is different from Visit. A visit records attendance and site activity; time entries record labor quantity and category. Travel, remote preparation, and follow-up may be reported even when they do not create a separate visit.</w:t>
      </w:r>
    </w:p>
    <w:p>
      <w:r>
        <w:t>The HR platform maintains timesheets, timesheet lines, payroll results, leave, benefits, training, and employee assignments. Those records are current and operational but belong to workforce administration rather than the service data model.</w:t>
      </w:r>
    </w:p>
    <w:p>
      <w:r>
        <w:t>Technician is the service-facing workforce entity. Employee and payroll entities may map to it through integrations, but that integration should not expand the architecture diagram into a complete HR model.</w:t>
      </w:r>
    </w:p>
    <w:p>
      <w:r>
        <w:t>Skill validity is represented through Technician Skill; formal HR certifications and training enrollments remain adjacent workforce records.</w:t>
      </w:r>
    </w:p>
    <w:p>
      <w:pPr>
        <w:pStyle w:val="Heading2"/>
      </w:pPr>
      <w:r>
        <w:t>Review notes</w:t>
      </w:r>
    </w:p>
    <w:p>
      <w:pPr>
        <w:pStyle w:val="ListBullet"/>
      </w:pPr>
      <w:r>
        <w:t>One Work Order can have zero or many Time Entries.</w:t>
      </w:r>
    </w:p>
    <w:p>
      <w:pPr>
        <w:pStyle w:val="ListBullet"/>
      </w:pPr>
      <w:r>
        <w:t>One Technician can record zero or many Time Entries.</w:t>
      </w:r>
    </w:p>
    <w:p>
      <w:pPr>
        <w:pStyle w:val="ListBullet"/>
      </w:pPr>
      <w:r>
        <w:t>Each Time Entry belongs to one Work Order and one Technician.</w:t>
      </w:r>
    </w:p>
    <w:p/>
    <w:p>
      <w:pPr>
        <w:pStyle w:val="Heading1"/>
      </w:pPr>
      <w:r>
        <w:t>10. Work-order billing and invoice detail</w:t>
      </w:r>
    </w:p>
    <w:p>
      <w:r>
        <w:t>An invoice is generated from a work order once work becomes billable. A work order can remain unbilled, and split billing or controlled rebilling can create more than one invoice for the same work order.</w:t>
      </w:r>
    </w:p>
    <w:p>
      <w:r>
        <w:t>Invoice lines are dependent records containing labor, travel, material, fee, or adjustment charges. An issued invoice must have at least one line. Each line belongs to one invoice.</w:t>
      </w:r>
    </w:p>
    <w:p>
      <w:r>
        <w:t>A generic source reference on an invoice line is not treated as a mandatory foreign key to a part, time entry, or parts usage transaction. Different line types can originate from different calculations, so a universal direct relationship was not approved.</w:t>
      </w:r>
    </w:p>
    <w:p>
      <w:r>
        <w:t>Billing Account, Tax Profile, Tax Jurisdiction, Price Override, Invoice Delivery, Revenue Schedule, Dunning Case, Credit Memo, and Writeoff are active finance records. They support billing operations but are not required to trace the core work-order-to-invoice relationship.</w:t>
      </w:r>
    </w:p>
    <w:p>
      <w:r>
        <w:t>Finance analytics publishes service margin and aging facts that combine work and invoice identifiers. Those facts summarize the process and should not be drawn as transactional bridges.</w:t>
      </w:r>
    </w:p>
    <w:p>
      <w:pPr>
        <w:pStyle w:val="Heading2"/>
      </w:pPr>
      <w:r>
        <w:t>Review notes</w:t>
      </w:r>
    </w:p>
    <w:p>
      <w:pPr>
        <w:pStyle w:val="ListBullet"/>
      </w:pPr>
      <w:r>
        <w:t>One Work Order can generate zero or many Invoices.</w:t>
      </w:r>
    </w:p>
    <w:p>
      <w:pPr>
        <w:pStyle w:val="ListBullet"/>
      </w:pPr>
      <w:r>
        <w:t>Each Invoice belongs to one Work Order.</w:t>
      </w:r>
    </w:p>
    <w:p>
      <w:pPr>
        <w:pStyle w:val="ListBullet"/>
      </w:pPr>
      <w:r>
        <w:t>One Invoice contains one or many Invoice Lines.</w:t>
      </w:r>
    </w:p>
    <w:p>
      <w:pPr>
        <w:pStyle w:val="ListBullet"/>
      </w:pPr>
      <w:r>
        <w:t>Each Invoice Line belongs to one Invoice.</w:t>
      </w:r>
    </w:p>
    <w:p/>
    <w:p>
      <w:pPr>
        <w:pStyle w:val="Heading1"/>
      </w:pPr>
      <w:r>
        <w:t>11. Payment receipt and allocation</w:t>
      </w:r>
    </w:p>
    <w:p>
      <w:r>
        <w:t>Payment represents a received amount and can exist briefly before staff or automated matching decides which invoice should receive it. For that reason, the payment record does not store a single invoice key as the complete model.</w:t>
      </w:r>
    </w:p>
    <w:p>
      <w:r>
        <w:t>Payment Allocation applies part or all of a payment to an invoice. A payment can be split across invoices, and an invoice can receive allocations from several payments. The allocation record carries the applied amount and timestamp.</w:t>
      </w:r>
    </w:p>
    <w:p>
      <w:r>
        <w:t>Every allocation belongs to exactly one payment and one invoice. A newly received payment or an unpaid invoice can have no allocations yet.</w:t>
      </w:r>
    </w:p>
    <w:p>
      <w:r>
        <w:t>Payment Method and Payment Processor Event support receipt processing. Cash Application Batch and Bank Statement Line support reconciliation. Refund and Writeoff occur after or around the receipt process. These records remain outside the requested endpoint, which is application of received cash to an invoice.</w:t>
      </w:r>
    </w:p>
    <w:p>
      <w:r>
        <w:t>A direct Invoice-to-Payment many-to-many line would hide the applied amount. Payment Allocation should remain visible as the bridge.</w:t>
      </w:r>
    </w:p>
    <w:p>
      <w:pPr>
        <w:pStyle w:val="Heading2"/>
      </w:pPr>
      <w:r>
        <w:t>Review notes</w:t>
      </w:r>
    </w:p>
    <w:p>
      <w:pPr>
        <w:pStyle w:val="ListBullet"/>
      </w:pPr>
      <w:r>
        <w:t>One Payment can have zero or many Payment Allocations.</w:t>
      </w:r>
    </w:p>
    <w:p>
      <w:pPr>
        <w:pStyle w:val="ListBullet"/>
      </w:pPr>
      <w:r>
        <w:t>One Invoice can have zero or many Payment Allocations.</w:t>
      </w:r>
    </w:p>
    <w:p>
      <w:pPr>
        <w:pStyle w:val="ListBullet"/>
      </w:pPr>
      <w:r>
        <w:t>Each Payment Allocation belongs to one Payment and one Invoice.</w:t>
      </w:r>
    </w:p>
    <w:p/>
    <w:p>
      <w:pPr>
        <w:pStyle w:val="Heading1"/>
      </w:pPr>
      <w:r>
        <w:t>12. Current but adjacent enterprise domains</w:t>
      </w:r>
    </w:p>
    <w:p>
      <w:r>
        <w:t>The enterprise catalog is intentionally shared. Sales and CRM records such as Lead, Opportunity, Sales Quote, Sales Order, Product, and Renewal Opportunity explain commercial activity before a customer requests service. They are current but outside the operational review boundary.</w:t>
      </w:r>
    </w:p>
    <w:p>
      <w:r>
        <w:t>Inventory and procurement records explain how parts reach warehouses and technicians. Their relationships are substantial and valid, but the central service diagram only needs the Part catalog and the transaction that records consumption by work.</w:t>
      </w:r>
    </w:p>
    <w:p>
      <w:r>
        <w:t>Workforce and HR records explain employment, payroll, leave, training, and benefits. Technician, Skill, and Technician Skill are the service-facing subset required for dispatch capability.</w:t>
      </w:r>
    </w:p>
    <w:p>
      <w:r>
        <w:t>Communications and portal records explain notifications, customer sessions, knowledge content, chat, surveys, and generated documents. They can reference customers, contacts, requests, or invoices but do not establish the core service-to-cash trace.</w:t>
      </w:r>
    </w:p>
    <w:p>
      <w:r>
        <w:t>Security, administration, integration, and staging objects are essential platform structures. They should not appear in a business ER diagram unless the review specifically asks for identity, configuration, eventing, or interface architecture.</w:t>
      </w:r>
    </w:p>
    <w:p>
      <w:r>
        <w:t>Analytics and reporting objects are often active, approved, and in production. Record class and business purpose must therefore be considered in addition to environment and lifecycle status.</w:t>
      </w:r>
    </w:p>
    <w:p>
      <w:pPr>
        <w:pStyle w:val="Heading2"/>
      </w:pPr>
      <w:r>
        <w:t>Review notes</w:t>
      </w:r>
    </w:p>
    <w:p>
      <w:pPr>
        <w:pStyle w:val="ListBullet"/>
      </w:pPr>
      <w:r>
        <w:t>The broad catalog is retained because real architecture work starts from enterprise inventories rather than pre-filtered answer files.</w:t>
      </w:r>
    </w:p>
    <w:p>
      <w:pPr>
        <w:pStyle w:val="ListBullet"/>
      </w:pPr>
      <w:r>
        <w:t>The intended challenge is to identify the smallest coherent operational subgraph.</w:t>
      </w:r>
    </w:p>
    <w:p/>
    <w:p>
      <w:pPr>
        <w:pStyle w:val="Heading1"/>
      </w:pPr>
      <w:r>
        <w:t>13. Version, lifecycle, and source reconciliation</w:t>
      </w:r>
    </w:p>
    <w:p>
      <w:r>
        <w:t>The catalog contains active, retired, planned, pilot, reporting, integration, and reference objects. Environment and lifecycle filters remove some candidates, but they do not by themselves identify the requested process because many adjacent entities are also active, approved, and production.</w:t>
      </w:r>
    </w:p>
    <w:p>
      <w:r>
        <w:t>Effective dates matter when a current name replaces an earlier structure or when a future design has been entered before release. The release change log records catalog work across all domains and is not a list of diagram inclusions.</w:t>
      </w:r>
    </w:p>
    <w:p>
      <w:r>
        <w:t>Relationship direction should be derived from the foreign key location. A child record that stores the parent identifier belongs to one parent unless the field is nullable. The narrative then clarifies how many child records a parent can accumulate.</w:t>
      </w:r>
    </w:p>
    <w:p>
      <w:r>
        <w:t>Alternative keys and generic reference fields do not automatically create relationships. A field should be treated as relationship-driving only when the dictionary identifies it as an FK to a current entity and its business purpose fits the reviewed process.</w:t>
      </w:r>
    </w:p>
    <w:p>
      <w:r>
        <w:t>When a relationship has its own record—assignment, capability, coverage, equipment involvement, material consumption, or cash allocation—that entity should be preserved in the diagram.</w:t>
      </w:r>
    </w:p>
    <w:p>
      <w:pPr>
        <w:pStyle w:val="Heading2"/>
      </w:pPr>
      <w:r>
        <w:t>Review notes</w:t>
      </w:r>
    </w:p>
    <w:p>
      <w:pPr>
        <w:pStyle w:val="ListBullet"/>
      </w:pPr>
      <w:r>
        <w:t>Confirm the object is current for the release date.</w:t>
      </w:r>
    </w:p>
    <w:p>
      <w:pPr>
        <w:pStyle w:val="ListBullet"/>
      </w:pPr>
      <w:r>
        <w:t>Confirm it is transactional and inside the requested process.</w:t>
      </w:r>
    </w:p>
    <w:p>
      <w:pPr>
        <w:pStyle w:val="ListBullet"/>
      </w:pPr>
      <w:r>
        <w:t>Confirm relationship-driving fields are actual FKs.</w:t>
      </w:r>
    </w:p>
    <w:p>
      <w:pPr>
        <w:pStyle w:val="ListBullet"/>
      </w:pPr>
      <w:r>
        <w:t>Use the narrative to resolve optionality and multiplicity.</w:t>
      </w:r>
    </w:p>
    <w:p>
      <w:pPr>
        <w:pStyle w:val="ListBullet"/>
      </w:pPr>
      <w:r>
        <w:t>Use the key constraints to distinguish identifiers and alternative keys.</w:t>
      </w:r>
    </w:p>
    <w:p/>
    <w:p>
      <w:pPr>
        <w:pStyle w:val="Heading1"/>
      </w:pPr>
      <w:r>
        <w:t>14. Diagram handoff and review conventions</w:t>
      </w:r>
    </w:p>
    <w:p>
      <w:r>
        <w:t>Use a wide landscape canvas with four labeled business areas ordered from left to right: Customer &amp; Coverage, Planning &amp; Dispatch, Field Execution, and Billing &amp; Cash. The diagram should read as a process trace while remaining an ER-style model rather than a flowchart.</w:t>
      </w:r>
    </w:p>
    <w:p>
      <w:r>
        <w:t>Every included entity should show its primary key and the foreign keys used by visible connectors. Ordinary attributes should remain in the catalog. PK and FK labels need to be readable at normal review size.</w:t>
      </w:r>
    </w:p>
    <w:p>
      <w:r>
        <w:t>Use one cardinality notation consistently and show optionality at both ends. Min/max labels and crow's-foot notation are both acceptable.</w:t>
      </w:r>
    </w:p>
    <w:p>
      <w:r>
        <w:t>Place relationship records between their parent entities where possible. In particular, the coverage, assignment, capability, serviced-equipment, parts-usage, and payment-allocation records should visually function as bridges rather than detached boxes.</w:t>
      </w:r>
    </w:p>
    <w:p>
      <w:r>
        <w:t>Avoid connectors running through entity boxes. Cross-domain connectors should enter the nearest edge of each domain container so the relationship remains traceable.</w:t>
      </w:r>
    </w:p>
    <w:p>
      <w:r>
        <w:t>The title or subtitle must identify the review as the Service-to-Cash production model dated 30 June 2026. The final image should be self-contained and usable without reopening the source files.</w:t>
      </w:r>
    </w:p>
    <w:p>
      <w:pPr>
        <w:pStyle w:val="Heading2"/>
      </w:pPr>
      <w:r>
        <w:t>Review notes</w:t>
      </w:r>
    </w:p>
    <w:p>
      <w:pPr>
        <w:pStyle w:val="ListBullet"/>
      </w:pPr>
      <w:r>
        <w:t>Four domain containers are visible and ordered left to right.</w:t>
      </w:r>
    </w:p>
    <w:p>
      <w:pPr>
        <w:pStyle w:val="ListBullet"/>
      </w:pPr>
      <w:r>
        <w:t>Only current in-scope operational entities are active in the diagram.</w:t>
      </w:r>
    </w:p>
    <w:p>
      <w:pPr>
        <w:pStyle w:val="ListBullet"/>
      </w:pPr>
      <w:r>
        <w:t>Relationship records with their own meaning are retained.</w:t>
      </w:r>
    </w:p>
    <w:p>
      <w:pPr>
        <w:pStyle w:val="ListBullet"/>
      </w:pPr>
      <w:r>
        <w:t>PKs, relationship FKs, directions, and cardinalities are readable.</w:t>
      </w:r>
    </w:p>
    <w:p>
      <w:r>
        <w:br w:type="page"/>
      </w:r>
    </w:p>
    <w:p>
      <w:pPr>
        <w:pStyle w:val="Heading1"/>
      </w:pPr>
      <w:r>
        <w:t>15. Final release reconciliation notes</w:t>
      </w:r>
    </w:p>
    <w:p>
      <w:r>
        <w:t>The following decisions were incorporated after the workshop narrative was drafted. They refine the operational trace without turning the diagram into a full process or audit model.</w:t>
      </w:r>
    </w:p>
    <w:p>
      <w:pPr>
        <w:pStyle w:val="Heading2"/>
      </w:pPr>
      <w:r>
        <w:t>Request control</w:t>
      </w:r>
    </w:p>
    <w:p>
      <w:r>
        <w:t>The request-level SLA milestone record is operational, not analytical. It belongs to one Service Request, while a request can have zero or many milestone events. Show event_type as the single non-key fact because it distinguishes response, attendance, and resolution clocks.</w:t>
      </w:r>
    </w:p>
    <w:p>
      <w:r>
        <w:t>Request Comment and Request Attachment remain collaboration records. They may be current and linked to a request, but they are not required for the architecture trace.</w:t>
      </w:r>
    </w:p>
    <w:p>
      <w:r>
        <w:t>Use requested_by_contact_id for the optional reporting contact. The earlier reported_contact_id field ended before this release. The proposed agreement_asset_id relationship is a pending 4.9 design and must not appear.</w:t>
      </w:r>
    </w:p>
    <w:p>
      <w:pPr>
        <w:pStyle w:val="Heading2"/>
      </w:pPr>
      <w:r>
        <w:t>Work completion control</w:t>
      </w:r>
    </w:p>
    <w:p>
      <w:r>
        <w:t>The work-order completion checklist is part of the field handoff because it establishes whether a work order is ready to close and bill. It belongs to one Work Order, while a work order can have zero or many checklist records. Show completion_state as its single non-key fact.</w:t>
      </w:r>
    </w:p>
    <w:p>
      <w:r>
        <w:t>A direct technician_id on Work Order is historical. Current technician participation is represented through Work Order Assignment and through actual Visit and Time Entry records.</w:t>
      </w:r>
    </w:p>
    <w:p>
      <w:r>
        <w:t>Work Order Dependency remains a planning aid and is not required in the service-to-cash trace.</w:t>
      </w:r>
    </w:p>
    <w:p>
      <w:pPr>
        <w:pStyle w:val="Heading2"/>
      </w:pPr>
      <w:r>
        <w:t>Visit completion evidence</w:t>
      </w:r>
    </w:p>
    <w:p>
      <w:r>
        <w:t>The visit sign-off record is required completion evidence. It belongs to one Visit, while a visit can have zero or many signatures. Show signer_role as its single non-key fact.</w:t>
      </w:r>
    </w:p>
    <w:p>
      <w:r>
        <w:t>Visit Photo and Visit Expense remain supporting or adjacent records for this review. They do not become part of the core model merely because they reference Visit.</w:t>
      </w:r>
    </w:p>
    <w:p>
      <w:pPr>
        <w:pStyle w:val="Heading2"/>
      </w:pPr>
      <w:r>
        <w:t>Invoice control before cash application</w:t>
      </w:r>
    </w:p>
    <w:p>
      <w:r>
        <w:t>An invoice-level adjustment is in scope when it changes the amount due before payment allocation. It belongs to one Invoice, while an invoice can have zero or many adjustments. Show adjustment_amount as its single non-key fact.</w:t>
      </w:r>
    </w:p>
    <w:p>
      <w:r>
        <w:t>Invoice Delivery, Payment Method, Credit Memo, Refund, Writeoff, Bank Statement Line, and Cash Application Batch are outside the requested endpoint or supporting process.</w:t>
      </w:r>
    </w:p>
    <w:p>
      <w:r>
        <w:t>A direct request_id on Invoice and a direct invoice_id on Payment are historical. The current chain is Work Order to Invoice, then Payment and Invoice through Payment Allocation.</w:t>
      </w:r>
    </w:p>
    <w:p>
      <w:pPr>
        <w:pStyle w:val="Heading2"/>
      </w:pPr>
      <w:r>
        <w:t>Required relationship facts</w:t>
      </w:r>
    </w:p>
    <w:p>
      <w:r>
        <w:t>To keep association records meaningful without dumping ordinary attributes, show exactly one relationship-defining fact for each retained bridge: coverage_level on Agreement Asset; assignment_role on Work Order Assignment; proficiency_level on Technician Skill; service_role on Work Order Asset; quantity on Parts Usage; and allocated_amount on Payment Allocation.</w:t>
      </w:r>
    </w:p>
    <w:p>
      <w:r>
        <w:t>Other ordinary fields may remain in the catalog but should not be copied into the diagram unless they are a PK, a current visible FK, or one of the specifically required facts above.</w:t>
      </w:r>
    </w:p>
    <w:sectPr w:rsidR="00FC693F" w:rsidRPr="0006063C" w:rsidSect="00034616">
      <w:headerReference w:type="default" r:id="rId9"/>
      <w:footerReference w:type="default" r:id="rId10"/>
      <w:pgSz w:w="12240" w:h="15840"/>
      <w:pgMar w:top="950" w:right="1094" w:bottom="950"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Internal architecture working pack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Northstar Field Services | Service-to-Cash Data Model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677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