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Aptos Display" w:hAnsi="Aptos Display"/>
          <w:b/>
          <w:color w:val="2F6B8A"/>
          <w:sz w:val="36"/>
        </w:rPr>
        <w:t>June 2026 Campus Operations</w:t>
      </w:r>
    </w:p>
    <w:p>
      <w:pPr>
        <w:pStyle w:val="Title"/>
        <w:jc w:val="center"/>
      </w:pPr>
      <w:r>
        <w:t>Operating Model Review</w:t>
      </w:r>
    </w:p>
    <w:p>
      <w:pPr>
        <w:jc w:val="center"/>
      </w:pPr>
      <w:r>
        <w:rPr>
          <w:color w:val="687B84"/>
          <w:sz w:val="22"/>
        </w:rPr>
        <w:t>Role appointments, same-day duty coverage, advisory updates, and register controls</w:t>
      </w:r>
    </w:p>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83B56"/>
          </w:tcPr>
          <w:p>
            <w:pPr>
              <w:spacing w:after="0"/>
            </w:pPr>
            <w:r/>
            <w:r>
              <w:rPr>
                <w:rFonts w:ascii="Aptos" w:hAnsi="Aptos"/>
                <w:b/>
                <w:color w:val="FFFFFF"/>
                <w:sz w:val="16"/>
              </w:rPr>
              <w:t>Review sponsor</w:t>
            </w:r>
          </w:p>
        </w:tc>
        <w:tc>
          <w:tcPr>
            <w:tcW w:type="dxa" w:w="6624"/>
            <w:vAlign w:val="center"/>
            <w:shd w:fill="183B56"/>
          </w:tcPr>
          <w:p>
            <w:pPr>
              <w:spacing w:after="0"/>
            </w:pPr>
            <w:r/>
            <w:r>
              <w:rPr>
                <w:rFonts w:ascii="Aptos" w:hAnsi="Aptos"/>
                <w:b/>
                <w:color w:val="FFFFFF"/>
                <w:sz w:val="16"/>
              </w:rPr>
              <w:t>Vice President, Campus Operations</w:t>
            </w:r>
          </w:p>
        </w:tc>
      </w:tr>
      <w:tr>
        <w:tc>
          <w:tcPr>
            <w:tcW w:type="dxa" w:w="2880"/>
            <w:vAlign w:val="center"/>
          </w:tcPr>
          <w:p>
            <w:pPr>
              <w:spacing w:after="0"/>
            </w:pPr>
            <w:r/>
            <w:r>
              <w:rPr>
                <w:rFonts w:ascii="Aptos" w:hAnsi="Aptos"/>
                <w:b w:val="0"/>
                <w:sz w:val="16"/>
              </w:rPr>
              <w:t>Prepared by</w:t>
            </w:r>
          </w:p>
        </w:tc>
        <w:tc>
          <w:tcPr>
            <w:tcW w:type="dxa" w:w="6624"/>
            <w:vAlign w:val="center"/>
          </w:tcPr>
          <w:p>
            <w:pPr>
              <w:spacing w:after="0"/>
            </w:pPr>
            <w:r/>
            <w:r>
              <w:rPr>
                <w:rFonts w:ascii="Aptos" w:hAnsi="Aptos"/>
                <w:b w:val="0"/>
                <w:sz w:val="16"/>
              </w:rPr>
              <w:t>Emergency Preparedness and Workforce Planning</w:t>
            </w:r>
          </w:p>
        </w:tc>
      </w:tr>
      <w:tr>
        <w:tc>
          <w:tcPr>
            <w:tcW w:type="dxa" w:w="2880"/>
            <w:vAlign w:val="center"/>
            <w:shd w:fill="EAF1F5"/>
          </w:tcPr>
          <w:p>
            <w:pPr>
              <w:spacing w:after="0"/>
            </w:pPr>
            <w:r/>
            <w:r>
              <w:rPr>
                <w:rFonts w:ascii="Aptos" w:hAnsi="Aptos"/>
                <w:b w:val="0"/>
                <w:sz w:val="16"/>
              </w:rPr>
              <w:t>Review period</w:t>
            </w:r>
          </w:p>
        </w:tc>
        <w:tc>
          <w:tcPr>
            <w:tcW w:type="dxa" w:w="6624"/>
            <w:vAlign w:val="center"/>
            <w:shd w:fill="EAF1F5"/>
          </w:tcPr>
          <w:p>
            <w:pPr>
              <w:spacing w:after="0"/>
            </w:pPr>
            <w:r/>
            <w:r>
              <w:rPr>
                <w:rFonts w:ascii="Aptos" w:hAnsi="Aptos"/>
                <w:b w:val="0"/>
                <w:sz w:val="16"/>
              </w:rPr>
              <w:t>January to June 2026</w:t>
            </w:r>
          </w:p>
        </w:tc>
      </w:tr>
      <w:tr>
        <w:tc>
          <w:tcPr>
            <w:tcW w:type="dxa" w:w="2880"/>
            <w:vAlign w:val="center"/>
          </w:tcPr>
          <w:p>
            <w:pPr>
              <w:spacing w:after="0"/>
            </w:pPr>
            <w:r/>
            <w:r>
              <w:rPr>
                <w:rFonts w:ascii="Aptos" w:hAnsi="Aptos"/>
                <w:b w:val="0"/>
                <w:sz w:val="16"/>
              </w:rPr>
              <w:t>Effective view</w:t>
            </w:r>
          </w:p>
        </w:tc>
        <w:tc>
          <w:tcPr>
            <w:tcW w:type="dxa" w:w="6624"/>
            <w:vAlign w:val="center"/>
          </w:tcPr>
          <w:p>
            <w:pPr>
              <w:spacing w:after="0"/>
            </w:pPr>
            <w:r/>
            <w:r>
              <w:rPr>
                <w:rFonts w:ascii="Aptos" w:hAnsi="Aptos"/>
                <w:b w:val="0"/>
                <w:sz w:val="16"/>
              </w:rPr>
              <w:t>30 June 2026 at 15:00 local time</w:t>
            </w:r>
          </w:p>
        </w:tc>
      </w:tr>
      <w:tr>
        <w:tc>
          <w:tcPr>
            <w:tcW w:type="dxa" w:w="2880"/>
            <w:vAlign w:val="center"/>
            <w:shd w:fill="EAF1F5"/>
          </w:tcPr>
          <w:p>
            <w:pPr>
              <w:spacing w:after="0"/>
            </w:pPr>
            <w:r/>
            <w:r>
              <w:rPr>
                <w:rFonts w:ascii="Aptos" w:hAnsi="Aptos"/>
                <w:b w:val="0"/>
                <w:sz w:val="16"/>
              </w:rPr>
              <w:t>Coverage</w:t>
            </w:r>
          </w:p>
        </w:tc>
        <w:tc>
          <w:tcPr>
            <w:tcW w:type="dxa" w:w="6624"/>
            <w:vAlign w:val="center"/>
            <w:shd w:fill="EAF1F5"/>
          </w:tcPr>
          <w:p>
            <w:pPr>
              <w:spacing w:after="0"/>
            </w:pPr>
            <w:r/>
            <w:r>
              <w:rPr>
                <w:rFonts w:ascii="Aptos" w:hAnsi="Aptos"/>
                <w:b w:val="0"/>
                <w:sz w:val="16"/>
              </w:rPr>
              <w:t>Enterprise and campus operating assignments</w:t>
            </w:r>
          </w:p>
        </w:tc>
      </w:tr>
      <w:tr>
        <w:tc>
          <w:tcPr>
            <w:tcW w:type="dxa" w:w="2880"/>
            <w:vAlign w:val="center"/>
          </w:tcPr>
          <w:p>
            <w:pPr>
              <w:spacing w:after="0"/>
            </w:pPr>
            <w:r/>
            <w:r>
              <w:rPr>
                <w:rFonts w:ascii="Aptos" w:hAnsi="Aptos"/>
                <w:b w:val="0"/>
                <w:sz w:val="16"/>
              </w:rPr>
              <w:t>Decision status</w:t>
            </w:r>
          </w:p>
        </w:tc>
        <w:tc>
          <w:tcPr>
            <w:tcW w:type="dxa" w:w="6624"/>
            <w:vAlign w:val="center"/>
          </w:tcPr>
          <w:p>
            <w:pPr>
              <w:spacing w:after="0"/>
            </w:pPr>
            <w:r/>
            <w:r>
              <w:rPr>
                <w:rFonts w:ascii="Aptos" w:hAnsi="Aptos"/>
                <w:b w:val="0"/>
                <w:sz w:val="16"/>
              </w:rPr>
              <w:t>Approved with noted pending items</w:t>
            </w:r>
          </w:p>
        </w:tc>
      </w:tr>
    </w:tbl>
    <w:p>
      <w:pPr>
        <w:spacing w:after="20"/>
      </w:pPr>
    </w:p>
    <w:p>
      <w:r>
        <w:rPr>
          <w:b/>
        </w:rPr>
        <w:t xml:space="preserve">Purpose. </w:t>
      </w:r>
      <w:r>
        <w:t>This review explains approved staffing and operating-model changes appearing in the enterprise directory, assignment register, organization-change log, stakeholder register, and same-day duty overrides. It is not a replacement for those registers and does not provide a final diagram roster.</w:t>
      </w:r>
    </w:p>
    <w:p>
      <w:pPr>
        <w:pStyle w:val="ReviewNote"/>
      </w:pPr>
      <w:r>
        <w:t>For a time-specific chart, first resolve the base assignment and then apply only an approved override active at the requested local time. A pending proposal, later handoff, or other-procedure override must not replace the active holder.</w:t>
      </w:r>
    </w:p>
    <w:p>
      <w:pPr>
        <w:pStyle w:val="Heading1"/>
      </w:pPr>
      <w:r>
        <w:t>1. Central Campus command and recovery changes</w:t>
      </w:r>
    </w:p>
    <w:p>
      <w:r>
        <w:rPr>
          <w:b/>
        </w:rPr>
        <w:t xml:space="preserve">Incident command. </w:t>
      </w:r>
      <w:r>
        <w:t>Elena Rossi remains the approved weekday business-hours Incident Commander for the Central Campus building-safety view. The previous holder remains in historical rows for audit use only.</w:t>
      </w:r>
    </w:p>
    <w:p>
      <w:r>
        <w:rPr>
          <w:b/>
        </w:rPr>
        <w:t xml:space="preserve">Recovery coordination. </w:t>
      </w:r>
      <w:r>
        <w:t>Omar Price was appointed Recovery Planning Manager and selected as Recovery Coordinator effective 15 June 2026. Marin Cole is the ended holder. A proposed July consolidation naming Maya Lewis remains pending and is not effective for the 30 June review.</w:t>
      </w:r>
    </w:p>
    <w:p>
      <w:r>
        <w:rPr>
          <w:b/>
        </w:rPr>
        <w:t xml:space="preserve">Relationship treatment. </w:t>
      </w:r>
      <w:r>
        <w:t>The Recovery Coordinator reports through the Central Campus site-operations branch and has a separate incident route to command when the recovery phase is declared. Both relationships are required because they have different endpoints and meanings.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88"/>
            <w:vAlign w:val="center"/>
            <w:shd w:fill="183B56"/>
          </w:tcPr>
          <w:p>
            <w:pPr>
              <w:spacing w:after="0"/>
            </w:pPr>
            <w:r/>
            <w:r>
              <w:rPr>
                <w:rFonts w:ascii="Aptos" w:hAnsi="Aptos"/>
                <w:b/>
                <w:color w:val="FFFFFF"/>
                <w:sz w:val="16"/>
              </w:rPr>
              <w:t>Change area</w:t>
            </w:r>
          </w:p>
        </w:tc>
        <w:tc>
          <w:tcPr>
            <w:tcW w:type="dxa" w:w="2160"/>
            <w:vAlign w:val="center"/>
            <w:shd w:fill="183B56"/>
          </w:tcPr>
          <w:p>
            <w:pPr>
              <w:spacing w:after="0"/>
            </w:pPr>
            <w:r/>
            <w:r>
              <w:rPr>
                <w:rFonts w:ascii="Aptos" w:hAnsi="Aptos"/>
                <w:b/>
                <w:color w:val="FFFFFF"/>
                <w:sz w:val="16"/>
              </w:rPr>
              <w:t>Effective interval</w:t>
            </w:r>
          </w:p>
        </w:tc>
        <w:tc>
          <w:tcPr>
            <w:tcW w:type="dxa" w:w="1584"/>
            <w:vAlign w:val="center"/>
            <w:shd w:fill="183B56"/>
          </w:tcPr>
          <w:p>
            <w:pPr>
              <w:spacing w:after="0"/>
            </w:pPr>
            <w:r/>
            <w:r>
              <w:rPr>
                <w:rFonts w:ascii="Aptos" w:hAnsi="Aptos"/>
                <w:b/>
                <w:color w:val="FFFFFF"/>
                <w:sz w:val="16"/>
              </w:rPr>
              <w:t>Decision</w:t>
            </w:r>
          </w:p>
        </w:tc>
        <w:tc>
          <w:tcPr>
            <w:tcW w:type="dxa" w:w="3672"/>
            <w:vAlign w:val="center"/>
            <w:shd w:fill="183B56"/>
          </w:tcPr>
          <w:p>
            <w:pPr>
              <w:spacing w:after="0"/>
            </w:pPr>
            <w:r/>
            <w:r>
              <w:rPr>
                <w:rFonts w:ascii="Aptos" w:hAnsi="Aptos"/>
                <w:b/>
                <w:color w:val="FFFFFF"/>
                <w:sz w:val="16"/>
              </w:rPr>
              <w:t>Chart implication</w:t>
            </w:r>
          </w:p>
        </w:tc>
      </w:tr>
      <w:tr>
        <w:tc>
          <w:tcPr>
            <w:tcW w:type="dxa" w:w="2088"/>
            <w:vAlign w:val="center"/>
          </w:tcPr>
          <w:p>
            <w:pPr>
              <w:spacing w:after="0"/>
            </w:pPr>
            <w:r/>
            <w:r>
              <w:rPr>
                <w:rFonts w:ascii="Aptos" w:hAnsi="Aptos"/>
                <w:b w:val="0"/>
                <w:sz w:val="16"/>
              </w:rPr>
              <w:t>Incident Commander</w:t>
            </w:r>
          </w:p>
        </w:tc>
        <w:tc>
          <w:tcPr>
            <w:tcW w:type="dxa" w:w="2160"/>
            <w:vAlign w:val="center"/>
          </w:tcPr>
          <w:p>
            <w:pPr>
              <w:spacing w:after="0"/>
            </w:pPr>
            <w:r/>
            <w:r>
              <w:rPr>
                <w:rFonts w:ascii="Aptos" w:hAnsi="Aptos"/>
                <w:b w:val="0"/>
                <w:sz w:val="16"/>
              </w:rPr>
              <w:t>From 15 May 2026</w:t>
            </w:r>
          </w:p>
        </w:tc>
        <w:tc>
          <w:tcPr>
            <w:tcW w:type="dxa" w:w="1584"/>
            <w:vAlign w:val="center"/>
          </w:tcPr>
          <w:p>
            <w:pPr>
              <w:spacing w:after="0"/>
            </w:pPr>
            <w:r/>
            <w:r>
              <w:rPr>
                <w:rFonts w:ascii="Aptos" w:hAnsi="Aptos"/>
                <w:b w:val="0"/>
                <w:sz w:val="16"/>
              </w:rPr>
              <w:t>Approved</w:t>
            </w:r>
          </w:p>
        </w:tc>
        <w:tc>
          <w:tcPr>
            <w:tcW w:type="dxa" w:w="3672"/>
            <w:vAlign w:val="center"/>
          </w:tcPr>
          <w:p>
            <w:pPr>
              <w:spacing w:after="0"/>
            </w:pPr>
            <w:r/>
            <w:r>
              <w:rPr>
                <w:rFonts w:ascii="Aptos" w:hAnsi="Aptos"/>
                <w:b w:val="0"/>
                <w:sz w:val="16"/>
              </w:rPr>
              <w:t>Use current assignment; exclude ended holder</w:t>
            </w:r>
          </w:p>
        </w:tc>
      </w:tr>
      <w:tr>
        <w:tc>
          <w:tcPr>
            <w:tcW w:type="dxa" w:w="2088"/>
            <w:vAlign w:val="center"/>
            <w:shd w:fill="EAF1F5"/>
          </w:tcPr>
          <w:p>
            <w:pPr>
              <w:spacing w:after="0"/>
            </w:pPr>
            <w:r/>
            <w:r>
              <w:rPr>
                <w:rFonts w:ascii="Aptos" w:hAnsi="Aptos"/>
                <w:b w:val="0"/>
                <w:sz w:val="16"/>
              </w:rPr>
              <w:t>Recovery Coordinator</w:t>
            </w:r>
          </w:p>
        </w:tc>
        <w:tc>
          <w:tcPr>
            <w:tcW w:type="dxa" w:w="2160"/>
            <w:vAlign w:val="center"/>
            <w:shd w:fill="EAF1F5"/>
          </w:tcPr>
          <w:p>
            <w:pPr>
              <w:spacing w:after="0"/>
            </w:pPr>
            <w:r/>
            <w:r>
              <w:rPr>
                <w:rFonts w:ascii="Aptos" w:hAnsi="Aptos"/>
                <w:b w:val="0"/>
                <w:sz w:val="16"/>
              </w:rPr>
              <w:t>From 15 Jun 2026</w:t>
            </w:r>
          </w:p>
        </w:tc>
        <w:tc>
          <w:tcPr>
            <w:tcW w:type="dxa" w:w="1584"/>
            <w:vAlign w:val="center"/>
            <w:shd w:fill="EAF1F5"/>
          </w:tcPr>
          <w:p>
            <w:pPr>
              <w:spacing w:after="0"/>
            </w:pPr>
            <w:r/>
            <w:r>
              <w:rPr>
                <w:rFonts w:ascii="Aptos" w:hAnsi="Aptos"/>
                <w:b w:val="0"/>
                <w:sz w:val="16"/>
              </w:rPr>
              <w:t>Approved</w:t>
            </w:r>
          </w:p>
        </w:tc>
        <w:tc>
          <w:tcPr>
            <w:tcW w:type="dxa" w:w="3672"/>
            <w:vAlign w:val="center"/>
            <w:shd w:fill="EAF1F5"/>
          </w:tcPr>
          <w:p>
            <w:pPr>
              <w:spacing w:after="0"/>
            </w:pPr>
            <w:r/>
            <w:r>
              <w:rPr>
                <w:rFonts w:ascii="Aptos" w:hAnsi="Aptos"/>
                <w:b w:val="0"/>
                <w:sz w:val="16"/>
              </w:rPr>
              <w:t>Include current holder and current route</w:t>
            </w:r>
          </w:p>
        </w:tc>
      </w:tr>
      <w:tr>
        <w:tc>
          <w:tcPr>
            <w:tcW w:type="dxa" w:w="2088"/>
            <w:vAlign w:val="center"/>
          </w:tcPr>
          <w:p>
            <w:pPr>
              <w:spacing w:after="0"/>
            </w:pPr>
            <w:r/>
            <w:r>
              <w:rPr>
                <w:rFonts w:ascii="Aptos" w:hAnsi="Aptos"/>
                <w:b w:val="0"/>
                <w:sz w:val="16"/>
              </w:rPr>
              <w:t>Recovery consolidation</w:t>
            </w:r>
          </w:p>
        </w:tc>
        <w:tc>
          <w:tcPr>
            <w:tcW w:type="dxa" w:w="2160"/>
            <w:vAlign w:val="center"/>
          </w:tcPr>
          <w:p>
            <w:pPr>
              <w:spacing w:after="0"/>
            </w:pPr>
            <w:r/>
            <w:r>
              <w:rPr>
                <w:rFonts w:ascii="Aptos" w:hAnsi="Aptos"/>
                <w:b w:val="0"/>
                <w:sz w:val="16"/>
              </w:rPr>
              <w:t>From 1 Jul 2026</w:t>
            </w:r>
          </w:p>
        </w:tc>
        <w:tc>
          <w:tcPr>
            <w:tcW w:type="dxa" w:w="1584"/>
            <w:vAlign w:val="center"/>
          </w:tcPr>
          <w:p>
            <w:pPr>
              <w:spacing w:after="0"/>
            </w:pPr>
            <w:r/>
            <w:r>
              <w:rPr>
                <w:rFonts w:ascii="Aptos" w:hAnsi="Aptos"/>
                <w:b w:val="0"/>
                <w:sz w:val="16"/>
              </w:rPr>
              <w:t>Pending</w:t>
            </w:r>
          </w:p>
        </w:tc>
        <w:tc>
          <w:tcPr>
            <w:tcW w:type="dxa" w:w="3672"/>
            <w:vAlign w:val="center"/>
          </w:tcPr>
          <w:p>
            <w:pPr>
              <w:spacing w:after="0"/>
            </w:pPr>
            <w:r/>
            <w:r>
              <w:rPr>
                <w:rFonts w:ascii="Aptos" w:hAnsi="Aptos"/>
                <w:b w:val="0"/>
                <w:sz w:val="16"/>
              </w:rPr>
              <w:t>Exclude from 30 Jun snapshot</w:t>
            </w:r>
          </w:p>
        </w:tc>
      </w:tr>
    </w:tbl>
    <w:p>
      <w:pPr>
        <w:spacing w:after="20"/>
      </w:pPr>
    </w:p>
    <w:p>
      <w:pPr>
        <w:pStyle w:val="Heading1"/>
      </w:pPr>
      <w:r>
        <w:t>2. Same-day duty coverage on 30 June</w:t>
      </w:r>
    </w:p>
    <w:p>
      <w:r>
        <w:rPr>
          <w:b/>
        </w:rPr>
        <w:t xml:space="preserve">Student Affairs handoff. </w:t>
      </w:r>
      <w:r>
        <w:t>Tessa Wong is the approved Student Affairs Liaison duty holder from 12:00 through 18:00 on 30 June. Nadia Cole remains the approved base assignment outside that interval. For the requested 15:00 snapshot, the active node is therefore Tessa Wong, and the accessibility advisory relationship follows the active role holder.</w:t>
      </w:r>
    </w:p>
    <w:p>
      <w:r>
        <w:rPr>
          <w:b/>
        </w:rPr>
        <w:t xml:space="preserve">Communications proposal. </w:t>
      </w:r>
      <w:r>
        <w:t>A 14:00-17:00 communications handoff back to Marco Ito was drafted but remains pending. Sofia Reed therefore remains the active Communications Lead for the requested snapshot.</w:t>
      </w:r>
    </w:p>
    <w:p>
      <w:r>
        <w:rPr>
          <w:b/>
        </w:rPr>
        <w:t xml:space="preserve">Evening transition. </w:t>
      </w:r>
      <w:r>
        <w:t>A later Student Affairs handoff begins at 18:00 and belongs to the evening view. It must not be used for the 15:00 business-hours 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376"/>
            <w:vAlign w:val="center"/>
            <w:shd w:fill="183B56"/>
          </w:tcPr>
          <w:p>
            <w:pPr>
              <w:spacing w:after="0"/>
            </w:pPr>
            <w:r/>
            <w:r>
              <w:rPr>
                <w:rFonts w:ascii="Aptos" w:hAnsi="Aptos"/>
                <w:b/>
                <w:color w:val="FFFFFF"/>
                <w:sz w:val="16"/>
              </w:rPr>
              <w:t>Role</w:t>
            </w:r>
          </w:p>
        </w:tc>
        <w:tc>
          <w:tcPr>
            <w:tcW w:type="dxa" w:w="1944"/>
            <w:vAlign w:val="center"/>
            <w:shd w:fill="183B56"/>
          </w:tcPr>
          <w:p>
            <w:pPr>
              <w:spacing w:after="0"/>
            </w:pPr>
            <w:r/>
            <w:r>
              <w:rPr>
                <w:rFonts w:ascii="Aptos" w:hAnsi="Aptos"/>
                <w:b/>
                <w:color w:val="FFFFFF"/>
                <w:sz w:val="16"/>
              </w:rPr>
              <w:t>Window</w:t>
            </w:r>
          </w:p>
        </w:tc>
        <w:tc>
          <w:tcPr>
            <w:tcW w:type="dxa" w:w="1800"/>
            <w:vAlign w:val="center"/>
            <w:shd w:fill="183B56"/>
          </w:tcPr>
          <w:p>
            <w:pPr>
              <w:spacing w:after="0"/>
            </w:pPr>
            <w:r/>
            <w:r>
              <w:rPr>
                <w:rFonts w:ascii="Aptos" w:hAnsi="Aptos"/>
                <w:b/>
                <w:color w:val="FFFFFF"/>
                <w:sz w:val="16"/>
              </w:rPr>
              <w:t>Approval</w:t>
            </w:r>
          </w:p>
        </w:tc>
        <w:tc>
          <w:tcPr>
            <w:tcW w:type="dxa" w:w="3384"/>
            <w:vAlign w:val="center"/>
            <w:shd w:fill="183B56"/>
          </w:tcPr>
          <w:p>
            <w:pPr>
              <w:spacing w:after="0"/>
            </w:pPr>
            <w:r/>
            <w:r>
              <w:rPr>
                <w:rFonts w:ascii="Aptos" w:hAnsi="Aptos"/>
                <w:b/>
                <w:color w:val="FFFFFF"/>
                <w:sz w:val="16"/>
              </w:rPr>
              <w:t>15:00 result</w:t>
            </w:r>
          </w:p>
        </w:tc>
      </w:tr>
      <w:tr>
        <w:tc>
          <w:tcPr>
            <w:tcW w:type="dxa" w:w="2376"/>
            <w:vAlign w:val="center"/>
          </w:tcPr>
          <w:p>
            <w:pPr>
              <w:spacing w:after="0"/>
            </w:pPr>
            <w:r/>
            <w:r>
              <w:rPr>
                <w:rFonts w:ascii="Aptos" w:hAnsi="Aptos"/>
                <w:b w:val="0"/>
                <w:sz w:val="16"/>
              </w:rPr>
              <w:t>Student Affairs Liaison</w:t>
            </w:r>
          </w:p>
        </w:tc>
        <w:tc>
          <w:tcPr>
            <w:tcW w:type="dxa" w:w="1944"/>
            <w:vAlign w:val="center"/>
          </w:tcPr>
          <w:p>
            <w:pPr>
              <w:spacing w:after="0"/>
            </w:pPr>
            <w:r/>
            <w:r>
              <w:rPr>
                <w:rFonts w:ascii="Aptos" w:hAnsi="Aptos"/>
                <w:b w:val="0"/>
                <w:sz w:val="16"/>
              </w:rPr>
              <w:t>12:00-18:00</w:t>
            </w:r>
          </w:p>
        </w:tc>
        <w:tc>
          <w:tcPr>
            <w:tcW w:type="dxa" w:w="1800"/>
            <w:vAlign w:val="center"/>
          </w:tcPr>
          <w:p>
            <w:pPr>
              <w:spacing w:after="0"/>
            </w:pPr>
            <w:r/>
            <w:r>
              <w:rPr>
                <w:rFonts w:ascii="Aptos" w:hAnsi="Aptos"/>
                <w:b w:val="0"/>
                <w:sz w:val="16"/>
              </w:rPr>
              <w:t>Approved</w:t>
            </w:r>
          </w:p>
        </w:tc>
        <w:tc>
          <w:tcPr>
            <w:tcW w:type="dxa" w:w="3384"/>
            <w:vAlign w:val="center"/>
          </w:tcPr>
          <w:p>
            <w:pPr>
              <w:spacing w:after="0"/>
            </w:pPr>
            <w:r/>
            <w:r>
              <w:rPr>
                <w:rFonts w:ascii="Aptos" w:hAnsi="Aptos"/>
                <w:b w:val="0"/>
                <w:sz w:val="16"/>
              </w:rPr>
              <w:t>Apply override holder</w:t>
            </w:r>
          </w:p>
        </w:tc>
      </w:tr>
      <w:tr>
        <w:tc>
          <w:tcPr>
            <w:tcW w:type="dxa" w:w="2376"/>
            <w:vAlign w:val="center"/>
            <w:shd w:fill="EAF1F5"/>
          </w:tcPr>
          <w:p>
            <w:pPr>
              <w:spacing w:after="0"/>
            </w:pPr>
            <w:r/>
            <w:r>
              <w:rPr>
                <w:rFonts w:ascii="Aptos" w:hAnsi="Aptos"/>
                <w:b w:val="0"/>
                <w:sz w:val="16"/>
              </w:rPr>
              <w:t>Communications Lead</w:t>
            </w:r>
          </w:p>
        </w:tc>
        <w:tc>
          <w:tcPr>
            <w:tcW w:type="dxa" w:w="1944"/>
            <w:vAlign w:val="center"/>
            <w:shd w:fill="EAF1F5"/>
          </w:tcPr>
          <w:p>
            <w:pPr>
              <w:spacing w:after="0"/>
            </w:pPr>
            <w:r/>
            <w:r>
              <w:rPr>
                <w:rFonts w:ascii="Aptos" w:hAnsi="Aptos"/>
                <w:b w:val="0"/>
                <w:sz w:val="16"/>
              </w:rPr>
              <w:t>14:00-17:00</w:t>
            </w:r>
          </w:p>
        </w:tc>
        <w:tc>
          <w:tcPr>
            <w:tcW w:type="dxa" w:w="1800"/>
            <w:vAlign w:val="center"/>
            <w:shd w:fill="EAF1F5"/>
          </w:tcPr>
          <w:p>
            <w:pPr>
              <w:spacing w:after="0"/>
            </w:pPr>
            <w:r/>
            <w:r>
              <w:rPr>
                <w:rFonts w:ascii="Aptos" w:hAnsi="Aptos"/>
                <w:b w:val="0"/>
                <w:sz w:val="16"/>
              </w:rPr>
              <w:t>Pending</w:t>
            </w:r>
          </w:p>
        </w:tc>
        <w:tc>
          <w:tcPr>
            <w:tcW w:type="dxa" w:w="3384"/>
            <w:vAlign w:val="center"/>
            <w:shd w:fill="EAF1F5"/>
          </w:tcPr>
          <w:p>
            <w:pPr>
              <w:spacing w:after="0"/>
            </w:pPr>
            <w:r/>
            <w:r>
              <w:rPr>
                <w:rFonts w:ascii="Aptos" w:hAnsi="Aptos"/>
                <w:b w:val="0"/>
                <w:sz w:val="16"/>
              </w:rPr>
              <w:t>Keep approved base holder</w:t>
            </w:r>
          </w:p>
        </w:tc>
      </w:tr>
      <w:tr>
        <w:tc>
          <w:tcPr>
            <w:tcW w:type="dxa" w:w="2376"/>
            <w:vAlign w:val="center"/>
          </w:tcPr>
          <w:p>
            <w:pPr>
              <w:spacing w:after="0"/>
            </w:pPr>
            <w:r/>
            <w:r>
              <w:rPr>
                <w:rFonts w:ascii="Aptos" w:hAnsi="Aptos"/>
                <w:b w:val="0"/>
                <w:sz w:val="16"/>
              </w:rPr>
              <w:t>Student Affairs evening handoff</w:t>
            </w:r>
          </w:p>
        </w:tc>
        <w:tc>
          <w:tcPr>
            <w:tcW w:type="dxa" w:w="1944"/>
            <w:vAlign w:val="center"/>
          </w:tcPr>
          <w:p>
            <w:pPr>
              <w:spacing w:after="0"/>
            </w:pPr>
            <w:r/>
            <w:r>
              <w:rPr>
                <w:rFonts w:ascii="Aptos" w:hAnsi="Aptos"/>
                <w:b w:val="0"/>
                <w:sz w:val="16"/>
              </w:rPr>
              <w:t>Starts 18:00</w:t>
            </w:r>
          </w:p>
        </w:tc>
        <w:tc>
          <w:tcPr>
            <w:tcW w:type="dxa" w:w="1800"/>
            <w:vAlign w:val="center"/>
          </w:tcPr>
          <w:p>
            <w:pPr>
              <w:spacing w:after="0"/>
            </w:pPr>
            <w:r/>
            <w:r>
              <w:rPr>
                <w:rFonts w:ascii="Aptos" w:hAnsi="Aptos"/>
                <w:b w:val="0"/>
                <w:sz w:val="16"/>
              </w:rPr>
              <w:t>Approved</w:t>
            </w:r>
          </w:p>
        </w:tc>
        <w:tc>
          <w:tcPr>
            <w:tcW w:type="dxa" w:w="3384"/>
            <w:vAlign w:val="center"/>
          </w:tcPr>
          <w:p>
            <w:pPr>
              <w:spacing w:after="0"/>
            </w:pPr>
            <w:r/>
            <w:r>
              <w:rPr>
                <w:rFonts w:ascii="Aptos" w:hAnsi="Aptos"/>
                <w:b w:val="0"/>
                <w:sz w:val="16"/>
              </w:rPr>
              <w:t>Not yet effective</w:t>
            </w:r>
          </w:p>
        </w:tc>
      </w:tr>
    </w:tbl>
    <w:p>
      <w:pPr>
        <w:spacing w:after="20"/>
      </w:pPr>
    </w:p>
    <w:p>
      <w:r>
        <w:br w:type="page"/>
      </w:r>
    </w:p>
    <w:p>
      <w:pPr>
        <w:pStyle w:val="Heading1"/>
      </w:pPr>
      <w:r>
        <w:t>3. Cross-functional and advisory review</w:t>
      </w:r>
    </w:p>
    <w:p>
      <w:r>
        <w:rPr>
          <w:b/>
        </w:rPr>
        <w:t xml:space="preserve">Communications. </w:t>
      </w:r>
      <w:r>
        <w:t>Sofia Reed continues as the current weekday business-hours Communications Lead. Other communications staff remain active for after-hours and media-monitoring work but are not selected for this view.</w:t>
      </w:r>
    </w:p>
    <w:p>
      <w:r>
        <w:rPr>
          <w:b/>
        </w:rPr>
        <w:t xml:space="preserve">Security. </w:t>
      </w:r>
      <w:r>
        <w:t>Zoe Kim remains the selected Security Liaison for Central Campus business hours. Separate security-incident and evening assignments continue in their own procedures.</w:t>
      </w:r>
    </w:p>
    <w:p>
      <w:r>
        <w:rPr>
          <w:b/>
        </w:rPr>
        <w:t xml:space="preserve">Safety. </w:t>
      </w:r>
      <w:r>
        <w:t>Eli Morgan remains the selected Safety Officer. Supporting safety-program staff are directory records only and do not replace the approved role assignment.</w:t>
      </w:r>
    </w:p>
    <w:p>
      <w:r>
        <w:rPr>
          <w:b/>
        </w:rPr>
        <w:t xml:space="preserve">IT continuity. </w:t>
      </w:r>
      <w:r>
        <w:t>Dev Chen remains the current IT Continuity Lead. A July proposal affecting continuity responsibilities has not been approved.</w:t>
      </w:r>
    </w:p>
    <w:p>
      <w:r>
        <w:rPr>
          <w:b/>
        </w:rPr>
        <w:t xml:space="preserve">Advisory updates. </w:t>
      </w:r>
      <w:r>
        <w:t>The Continuity Planning Forum became active on 15 June and advises the selected Recovery Coordinator on recovery sequencing and continuity dependencies. Its planned July consultation with IT Continuity is a separate future engagement and is not active on 30 June.</w:t>
      </w:r>
    </w:p>
    <w:tbl>
      <w:tblPr>
        <w:tblStyle w:val="TableGrid"/>
        <w:tblW w:type="auto" w:w="0"/>
        <w:jc w:val="center"/>
        <w:tblLook w:firstColumn="1" w:firstRow="1" w:lastColumn="0" w:lastRow="0" w:noHBand="0" w:noVBand="1" w:val="04A0"/>
      </w:tblPr>
      <w:tblGrid>
        <w:gridCol w:w="3360"/>
        <w:gridCol w:w="3360"/>
        <w:gridCol w:w="3360"/>
      </w:tblGrid>
      <w:tr>
        <w:tc>
          <w:tcPr>
            <w:tcW w:type="dxa" w:w="3024"/>
            <w:vAlign w:val="center"/>
            <w:shd w:fill="183B56"/>
          </w:tcPr>
          <w:p>
            <w:pPr>
              <w:spacing w:after="0"/>
            </w:pPr>
            <w:r/>
            <w:r>
              <w:rPr>
                <w:rFonts w:ascii="Aptos" w:hAnsi="Aptos"/>
                <w:b/>
                <w:color w:val="FFFFFF"/>
                <w:sz w:val="16"/>
              </w:rPr>
              <w:t>Advisory body</w:t>
            </w:r>
          </w:p>
        </w:tc>
        <w:tc>
          <w:tcPr>
            <w:tcW w:type="dxa" w:w="3168"/>
            <w:vAlign w:val="center"/>
            <w:shd w:fill="183B56"/>
          </w:tcPr>
          <w:p>
            <w:pPr>
              <w:spacing w:after="0"/>
            </w:pPr>
            <w:r/>
            <w:r>
              <w:rPr>
                <w:rFonts w:ascii="Aptos" w:hAnsi="Aptos"/>
                <w:b/>
                <w:color w:val="FFFFFF"/>
                <w:sz w:val="16"/>
              </w:rPr>
              <w:t>Current sponsored role</w:t>
            </w:r>
          </w:p>
        </w:tc>
        <w:tc>
          <w:tcPr>
            <w:tcW w:type="dxa" w:w="2880"/>
            <w:vAlign w:val="center"/>
            <w:shd w:fill="183B56"/>
          </w:tcPr>
          <w:p>
            <w:pPr>
              <w:spacing w:after="0"/>
            </w:pPr>
            <w:r/>
            <w:r>
              <w:rPr>
                <w:rFonts w:ascii="Aptos" w:hAnsi="Aptos"/>
                <w:b/>
                <w:color w:val="FFFFFF"/>
                <w:sz w:val="16"/>
              </w:rPr>
              <w:t>Decision state</w:t>
            </w:r>
          </w:p>
        </w:tc>
      </w:tr>
      <w:tr>
        <w:tc>
          <w:tcPr>
            <w:tcW w:type="dxa" w:w="3024"/>
            <w:vAlign w:val="center"/>
          </w:tcPr>
          <w:p>
            <w:pPr>
              <w:spacing w:after="0"/>
            </w:pPr>
            <w:r/>
            <w:r>
              <w:rPr>
                <w:rFonts w:ascii="Aptos" w:hAnsi="Aptos"/>
                <w:b w:val="0"/>
                <w:sz w:val="16"/>
              </w:rPr>
              <w:t>Community Advisory Board</w:t>
            </w:r>
          </w:p>
        </w:tc>
        <w:tc>
          <w:tcPr>
            <w:tcW w:type="dxa" w:w="3168"/>
            <w:vAlign w:val="center"/>
          </w:tcPr>
          <w:p>
            <w:pPr>
              <w:spacing w:after="0"/>
            </w:pPr>
            <w:r/>
            <w:r>
              <w:rPr>
                <w:rFonts w:ascii="Aptos" w:hAnsi="Aptos"/>
                <w:b w:val="0"/>
                <w:sz w:val="16"/>
              </w:rPr>
              <w:t>Access Coordinator</w:t>
            </w:r>
          </w:p>
        </w:tc>
        <w:tc>
          <w:tcPr>
            <w:tcW w:type="dxa" w:w="2880"/>
            <w:vAlign w:val="center"/>
          </w:tcPr>
          <w:p>
            <w:pPr>
              <w:spacing w:after="0"/>
            </w:pPr>
            <w:r/>
            <w:r>
              <w:rPr>
                <w:rFonts w:ascii="Aptos" w:hAnsi="Aptos"/>
                <w:b w:val="0"/>
                <w:sz w:val="16"/>
              </w:rPr>
              <w:t>Current</w:t>
            </w:r>
          </w:p>
        </w:tc>
      </w:tr>
      <w:tr>
        <w:tc>
          <w:tcPr>
            <w:tcW w:type="dxa" w:w="3024"/>
            <w:vAlign w:val="center"/>
            <w:shd w:fill="EAF1F5"/>
          </w:tcPr>
          <w:p>
            <w:pPr>
              <w:spacing w:after="0"/>
            </w:pPr>
            <w:r/>
            <w:r>
              <w:rPr>
                <w:rFonts w:ascii="Aptos" w:hAnsi="Aptos"/>
                <w:b w:val="0"/>
                <w:sz w:val="16"/>
              </w:rPr>
              <w:t>EHS Review Council</w:t>
            </w:r>
          </w:p>
        </w:tc>
        <w:tc>
          <w:tcPr>
            <w:tcW w:type="dxa" w:w="3168"/>
            <w:vAlign w:val="center"/>
            <w:shd w:fill="EAF1F5"/>
          </w:tcPr>
          <w:p>
            <w:pPr>
              <w:spacing w:after="0"/>
            </w:pPr>
            <w:r/>
            <w:r>
              <w:rPr>
                <w:rFonts w:ascii="Aptos" w:hAnsi="Aptos"/>
                <w:b w:val="0"/>
                <w:sz w:val="16"/>
              </w:rPr>
              <w:t>Safety Officer</w:t>
            </w:r>
          </w:p>
        </w:tc>
        <w:tc>
          <w:tcPr>
            <w:tcW w:type="dxa" w:w="2880"/>
            <w:vAlign w:val="center"/>
            <w:shd w:fill="EAF1F5"/>
          </w:tcPr>
          <w:p>
            <w:pPr>
              <w:spacing w:after="0"/>
            </w:pPr>
            <w:r/>
            <w:r>
              <w:rPr>
                <w:rFonts w:ascii="Aptos" w:hAnsi="Aptos"/>
                <w:b w:val="0"/>
                <w:sz w:val="16"/>
              </w:rPr>
              <w:t>Current</w:t>
            </w:r>
          </w:p>
        </w:tc>
      </w:tr>
      <w:tr>
        <w:tc>
          <w:tcPr>
            <w:tcW w:type="dxa" w:w="3024"/>
            <w:vAlign w:val="center"/>
          </w:tcPr>
          <w:p>
            <w:pPr>
              <w:spacing w:after="0"/>
            </w:pPr>
            <w:r/>
            <w:r>
              <w:rPr>
                <w:rFonts w:ascii="Aptos" w:hAnsi="Aptos"/>
                <w:b w:val="0"/>
                <w:sz w:val="16"/>
              </w:rPr>
              <w:t>Accessibility Advisory Panel</w:t>
            </w:r>
          </w:p>
        </w:tc>
        <w:tc>
          <w:tcPr>
            <w:tcW w:type="dxa" w:w="3168"/>
            <w:vAlign w:val="center"/>
          </w:tcPr>
          <w:p>
            <w:pPr>
              <w:spacing w:after="0"/>
            </w:pPr>
            <w:r/>
            <w:r>
              <w:rPr>
                <w:rFonts w:ascii="Aptos" w:hAnsi="Aptos"/>
                <w:b w:val="0"/>
                <w:sz w:val="16"/>
              </w:rPr>
              <w:t>Student Affairs Liaison</w:t>
            </w:r>
          </w:p>
        </w:tc>
        <w:tc>
          <w:tcPr>
            <w:tcW w:type="dxa" w:w="2880"/>
            <w:vAlign w:val="center"/>
          </w:tcPr>
          <w:p>
            <w:pPr>
              <w:spacing w:after="0"/>
            </w:pPr>
            <w:r/>
            <w:r>
              <w:rPr>
                <w:rFonts w:ascii="Aptos" w:hAnsi="Aptos"/>
                <w:b w:val="0"/>
                <w:sz w:val="16"/>
              </w:rPr>
              <w:t>Current; follows active override</w:t>
            </w:r>
          </w:p>
        </w:tc>
      </w:tr>
      <w:tr>
        <w:tc>
          <w:tcPr>
            <w:tcW w:type="dxa" w:w="3024"/>
            <w:vAlign w:val="center"/>
            <w:shd w:fill="EAF1F5"/>
          </w:tcPr>
          <w:p>
            <w:pPr>
              <w:spacing w:after="0"/>
            </w:pPr>
            <w:r/>
            <w:r>
              <w:rPr>
                <w:rFonts w:ascii="Aptos" w:hAnsi="Aptos"/>
                <w:b w:val="0"/>
                <w:sz w:val="16"/>
              </w:rPr>
              <w:t>Continuity Planning Forum</w:t>
            </w:r>
          </w:p>
        </w:tc>
        <w:tc>
          <w:tcPr>
            <w:tcW w:type="dxa" w:w="3168"/>
            <w:vAlign w:val="center"/>
            <w:shd w:fill="EAF1F5"/>
          </w:tcPr>
          <w:p>
            <w:pPr>
              <w:spacing w:after="0"/>
            </w:pPr>
            <w:r/>
            <w:r>
              <w:rPr>
                <w:rFonts w:ascii="Aptos" w:hAnsi="Aptos"/>
                <w:b w:val="0"/>
                <w:sz w:val="16"/>
              </w:rPr>
              <w:t>Recovery Coordinator</w:t>
            </w:r>
          </w:p>
        </w:tc>
        <w:tc>
          <w:tcPr>
            <w:tcW w:type="dxa" w:w="2880"/>
            <w:vAlign w:val="center"/>
            <w:shd w:fill="EAF1F5"/>
          </w:tcPr>
          <w:p>
            <w:pPr>
              <w:spacing w:after="0"/>
            </w:pPr>
            <w:r/>
            <w:r>
              <w:rPr>
                <w:rFonts w:ascii="Aptos" w:hAnsi="Aptos"/>
                <w:b w:val="0"/>
                <w:sz w:val="16"/>
              </w:rPr>
              <w:t>Current from 15 Jun</w:t>
            </w:r>
          </w:p>
        </w:tc>
      </w:tr>
    </w:tbl>
    <w:p>
      <w:pPr>
        <w:spacing w:after="20"/>
      </w:pPr>
    </w:p>
    <w:p>
      <w:pPr>
        <w:pStyle w:val="ReviewNote"/>
      </w:pPr>
      <w:r>
        <w:t>Advisory groups remain outside the management hierarchy. Their current relationship is controlled by the Stakeholder Engagements register, not by department similarity or a narrative mention in this review.</w:t>
      </w:r>
    </w:p>
    <w:p>
      <w:pPr>
        <w:pStyle w:val="Heading1"/>
      </w:pPr>
      <w:r>
        <w:t>4. Other campuses, procedures, and unresolved proposals</w:t>
      </w:r>
    </w:p>
    <w:p>
      <w:pPr>
        <w:pStyle w:val="ListBullet"/>
        <w:spacing w:after="40"/>
        <w:ind w:left="317"/>
      </w:pPr>
      <w:r>
        <w:t>North, South, and West Campus duty-coordinator changes are approved but apply to other campus views.</w:t>
      </w:r>
    </w:p>
    <w:p>
      <w:pPr>
        <w:pStyle w:val="ListBullet"/>
        <w:spacing w:after="40"/>
        <w:ind w:left="317"/>
      </w:pPr>
      <w:r>
        <w:t>Fire-alarm and medical-response appointments use specialized command and external-service networks.</w:t>
      </w:r>
    </w:p>
    <w:p>
      <w:pPr>
        <w:pStyle w:val="ListBullet"/>
        <w:spacing w:after="40"/>
        <w:ind w:left="317"/>
      </w:pPr>
      <w:r>
        <w:t>Utility-outage and security-incident routes remain current for their own procedures and must not be blended into building safety.</w:t>
      </w:r>
    </w:p>
    <w:p>
      <w:pPr>
        <w:pStyle w:val="ListBullet"/>
        <w:spacing w:after="40"/>
        <w:ind w:left="317"/>
      </w:pPr>
      <w:r>
        <w:t>A July communications-to-executive route is pending and must not be treated as a current escalation.</w:t>
      </w:r>
    </w:p>
    <w:p>
      <w:pPr>
        <w:pStyle w:val="ListBullet"/>
        <w:spacing w:after="40"/>
        <w:ind w:left="317"/>
      </w:pPr>
      <w:r>
        <w:t>Current directory employment does not establish a selected incident role without a matching assignment or override.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664"/>
            <w:vAlign w:val="center"/>
            <w:shd w:fill="183B56"/>
          </w:tcPr>
          <w:p>
            <w:pPr>
              <w:spacing w:after="0"/>
            </w:pPr>
            <w:r/>
            <w:r>
              <w:rPr>
                <w:rFonts w:ascii="Aptos" w:hAnsi="Aptos"/>
                <w:b/>
                <w:color w:val="FFFFFF"/>
                <w:sz w:val="16"/>
              </w:rPr>
              <w:t>Review item</w:t>
            </w:r>
          </w:p>
        </w:tc>
        <w:tc>
          <w:tcPr>
            <w:tcW w:type="dxa" w:w="2664"/>
            <w:vAlign w:val="center"/>
            <w:shd w:fill="183B56"/>
          </w:tcPr>
          <w:p>
            <w:pPr>
              <w:spacing w:after="0"/>
            </w:pPr>
            <w:r/>
            <w:r>
              <w:rPr>
                <w:rFonts w:ascii="Aptos" w:hAnsi="Aptos"/>
                <w:b/>
                <w:color w:val="FFFFFF"/>
                <w:sz w:val="16"/>
              </w:rPr>
              <w:t>Operating view</w:t>
            </w:r>
          </w:p>
        </w:tc>
        <w:tc>
          <w:tcPr>
            <w:tcW w:type="dxa" w:w="1584"/>
            <w:vAlign w:val="center"/>
            <w:shd w:fill="183B56"/>
          </w:tcPr>
          <w:p>
            <w:pPr>
              <w:spacing w:after="0"/>
            </w:pPr>
            <w:r/>
            <w:r>
              <w:rPr>
                <w:rFonts w:ascii="Aptos" w:hAnsi="Aptos"/>
                <w:b/>
                <w:color w:val="FFFFFF"/>
                <w:sz w:val="16"/>
              </w:rPr>
              <w:t>State</w:t>
            </w:r>
          </w:p>
        </w:tc>
        <w:tc>
          <w:tcPr>
            <w:tcW w:type="dxa" w:w="2376"/>
            <w:vAlign w:val="center"/>
            <w:shd w:fill="183B56"/>
          </w:tcPr>
          <w:p>
            <w:pPr>
              <w:spacing w:after="0"/>
            </w:pPr>
            <w:r/>
            <w:r>
              <w:rPr>
                <w:rFonts w:ascii="Aptos" w:hAnsi="Aptos"/>
                <w:b/>
                <w:color w:val="FFFFFF"/>
                <w:sz w:val="16"/>
              </w:rPr>
              <w:t>Treatment</w:t>
            </w:r>
          </w:p>
        </w:tc>
      </w:tr>
      <w:tr>
        <w:tc>
          <w:tcPr>
            <w:tcW w:type="dxa" w:w="2664"/>
            <w:vAlign w:val="center"/>
          </w:tcPr>
          <w:p>
            <w:pPr>
              <w:spacing w:after="0"/>
            </w:pPr>
            <w:r/>
            <w:r>
              <w:rPr>
                <w:rFonts w:ascii="Aptos" w:hAnsi="Aptos"/>
                <w:b w:val="0"/>
                <w:sz w:val="16"/>
              </w:rPr>
              <w:t>Campus duty coordinators</w:t>
            </w:r>
          </w:p>
        </w:tc>
        <w:tc>
          <w:tcPr>
            <w:tcW w:type="dxa" w:w="2664"/>
            <w:vAlign w:val="center"/>
          </w:tcPr>
          <w:p>
            <w:pPr>
              <w:spacing w:after="0"/>
            </w:pPr>
            <w:r/>
            <w:r>
              <w:rPr>
                <w:rFonts w:ascii="Aptos" w:hAnsi="Aptos"/>
                <w:b w:val="0"/>
                <w:sz w:val="16"/>
              </w:rPr>
              <w:t>Other campuses / after hours</w:t>
            </w:r>
          </w:p>
        </w:tc>
        <w:tc>
          <w:tcPr>
            <w:tcW w:type="dxa" w:w="1584"/>
            <w:vAlign w:val="center"/>
          </w:tcPr>
          <w:p>
            <w:pPr>
              <w:spacing w:after="0"/>
            </w:pPr>
            <w:r/>
            <w:r>
              <w:rPr>
                <w:rFonts w:ascii="Aptos" w:hAnsi="Aptos"/>
                <w:b w:val="0"/>
                <w:sz w:val="16"/>
              </w:rPr>
              <w:t>Approved</w:t>
            </w:r>
          </w:p>
        </w:tc>
        <w:tc>
          <w:tcPr>
            <w:tcW w:type="dxa" w:w="2376"/>
            <w:vAlign w:val="center"/>
          </w:tcPr>
          <w:p>
            <w:pPr>
              <w:spacing w:after="0"/>
            </w:pPr>
            <w:r/>
            <w:r>
              <w:rPr>
                <w:rFonts w:ascii="Aptos" w:hAnsi="Aptos"/>
                <w:b w:val="0"/>
                <w:sz w:val="16"/>
              </w:rPr>
              <w:t>Use only when campus and window match</w:t>
            </w:r>
          </w:p>
        </w:tc>
      </w:tr>
      <w:tr>
        <w:tc>
          <w:tcPr>
            <w:tcW w:type="dxa" w:w="2664"/>
            <w:vAlign w:val="center"/>
            <w:shd w:fill="EAF1F5"/>
          </w:tcPr>
          <w:p>
            <w:pPr>
              <w:spacing w:after="0"/>
            </w:pPr>
            <w:r/>
            <w:r>
              <w:rPr>
                <w:rFonts w:ascii="Aptos" w:hAnsi="Aptos"/>
                <w:b w:val="0"/>
                <w:sz w:val="16"/>
              </w:rPr>
              <w:t>Fire and medical leads</w:t>
            </w:r>
          </w:p>
        </w:tc>
        <w:tc>
          <w:tcPr>
            <w:tcW w:type="dxa" w:w="2664"/>
            <w:vAlign w:val="center"/>
            <w:shd w:fill="EAF1F5"/>
          </w:tcPr>
          <w:p>
            <w:pPr>
              <w:spacing w:after="0"/>
            </w:pPr>
            <w:r/>
            <w:r>
              <w:rPr>
                <w:rFonts w:ascii="Aptos" w:hAnsi="Aptos"/>
                <w:b w:val="0"/>
                <w:sz w:val="16"/>
              </w:rPr>
              <w:t>Specialized procedures</w:t>
            </w:r>
          </w:p>
        </w:tc>
        <w:tc>
          <w:tcPr>
            <w:tcW w:type="dxa" w:w="1584"/>
            <w:vAlign w:val="center"/>
            <w:shd w:fill="EAF1F5"/>
          </w:tcPr>
          <w:p>
            <w:pPr>
              <w:spacing w:after="0"/>
            </w:pPr>
            <w:r/>
            <w:r>
              <w:rPr>
                <w:rFonts w:ascii="Aptos" w:hAnsi="Aptos"/>
                <w:b w:val="0"/>
                <w:sz w:val="16"/>
              </w:rPr>
              <w:t>Approved</w:t>
            </w:r>
          </w:p>
        </w:tc>
        <w:tc>
          <w:tcPr>
            <w:tcW w:type="dxa" w:w="2376"/>
            <w:vAlign w:val="center"/>
            <w:shd w:fill="EAF1F5"/>
          </w:tcPr>
          <w:p>
            <w:pPr>
              <w:spacing w:after="0"/>
            </w:pPr>
            <w:r/>
            <w:r>
              <w:rPr>
                <w:rFonts w:ascii="Aptos" w:hAnsi="Aptos"/>
                <w:b w:val="0"/>
                <w:sz w:val="16"/>
              </w:rPr>
              <w:t>Exclude from building-safety view</w:t>
            </w:r>
          </w:p>
        </w:tc>
      </w:tr>
      <w:tr>
        <w:tc>
          <w:tcPr>
            <w:tcW w:type="dxa" w:w="2664"/>
            <w:vAlign w:val="center"/>
          </w:tcPr>
          <w:p>
            <w:pPr>
              <w:spacing w:after="0"/>
            </w:pPr>
            <w:r/>
            <w:r>
              <w:rPr>
                <w:rFonts w:ascii="Aptos" w:hAnsi="Aptos"/>
                <w:b w:val="0"/>
                <w:sz w:val="16"/>
              </w:rPr>
              <w:t>Utility response</w:t>
            </w:r>
          </w:p>
        </w:tc>
        <w:tc>
          <w:tcPr>
            <w:tcW w:type="dxa" w:w="2664"/>
            <w:vAlign w:val="center"/>
          </w:tcPr>
          <w:p>
            <w:pPr>
              <w:spacing w:after="0"/>
            </w:pPr>
            <w:r/>
            <w:r>
              <w:rPr>
                <w:rFonts w:ascii="Aptos" w:hAnsi="Aptos"/>
                <w:b w:val="0"/>
                <w:sz w:val="16"/>
              </w:rPr>
              <w:t>Utility outage</w:t>
            </w:r>
          </w:p>
        </w:tc>
        <w:tc>
          <w:tcPr>
            <w:tcW w:type="dxa" w:w="1584"/>
            <w:vAlign w:val="center"/>
          </w:tcPr>
          <w:p>
            <w:pPr>
              <w:spacing w:after="0"/>
            </w:pPr>
            <w:r/>
            <w:r>
              <w:rPr>
                <w:rFonts w:ascii="Aptos" w:hAnsi="Aptos"/>
                <w:b w:val="0"/>
                <w:sz w:val="16"/>
              </w:rPr>
              <w:t>Approved</w:t>
            </w:r>
          </w:p>
        </w:tc>
        <w:tc>
          <w:tcPr>
            <w:tcW w:type="dxa" w:w="2376"/>
            <w:vAlign w:val="center"/>
          </w:tcPr>
          <w:p>
            <w:pPr>
              <w:spacing w:after="0"/>
            </w:pPr>
            <w:r/>
            <w:r>
              <w:rPr>
                <w:rFonts w:ascii="Aptos" w:hAnsi="Aptos"/>
                <w:b w:val="0"/>
                <w:sz w:val="16"/>
              </w:rPr>
              <w:t>Exclude from building-safety view</w:t>
            </w:r>
          </w:p>
        </w:tc>
      </w:tr>
      <w:tr>
        <w:tc>
          <w:tcPr>
            <w:tcW w:type="dxa" w:w="2664"/>
            <w:vAlign w:val="center"/>
            <w:shd w:fill="EAF1F5"/>
          </w:tcPr>
          <w:p>
            <w:pPr>
              <w:spacing w:after="0"/>
            </w:pPr>
            <w:r/>
            <w:r>
              <w:rPr>
                <w:rFonts w:ascii="Aptos" w:hAnsi="Aptos"/>
                <w:b w:val="0"/>
                <w:sz w:val="16"/>
              </w:rPr>
              <w:t>Communications executive route</w:t>
            </w:r>
          </w:p>
        </w:tc>
        <w:tc>
          <w:tcPr>
            <w:tcW w:type="dxa" w:w="2664"/>
            <w:vAlign w:val="center"/>
            <w:shd w:fill="EAF1F5"/>
          </w:tcPr>
          <w:p>
            <w:pPr>
              <w:spacing w:after="0"/>
            </w:pPr>
            <w:r/>
            <w:r>
              <w:rPr>
                <w:rFonts w:ascii="Aptos" w:hAnsi="Aptos"/>
                <w:b w:val="0"/>
                <w:sz w:val="16"/>
              </w:rPr>
              <w:t>Starts 1 Jul</w:t>
            </w:r>
          </w:p>
        </w:tc>
        <w:tc>
          <w:tcPr>
            <w:tcW w:type="dxa" w:w="1584"/>
            <w:vAlign w:val="center"/>
            <w:shd w:fill="EAF1F5"/>
          </w:tcPr>
          <w:p>
            <w:pPr>
              <w:spacing w:after="0"/>
            </w:pPr>
            <w:r/>
            <w:r>
              <w:rPr>
                <w:rFonts w:ascii="Aptos" w:hAnsi="Aptos"/>
                <w:b w:val="0"/>
                <w:sz w:val="16"/>
              </w:rPr>
              <w:t>Pending</w:t>
            </w:r>
          </w:p>
        </w:tc>
        <w:tc>
          <w:tcPr>
            <w:tcW w:type="dxa" w:w="2376"/>
            <w:vAlign w:val="center"/>
            <w:shd w:fill="EAF1F5"/>
          </w:tcPr>
          <w:p>
            <w:pPr>
              <w:spacing w:after="0"/>
            </w:pPr>
            <w:r/>
            <w:r>
              <w:rPr>
                <w:rFonts w:ascii="Aptos" w:hAnsi="Aptos"/>
                <w:b w:val="0"/>
                <w:sz w:val="16"/>
              </w:rPr>
              <w:t>Exclude</w:t>
            </w:r>
          </w:p>
        </w:tc>
      </w:tr>
      <w:tr>
        <w:tc>
          <w:tcPr>
            <w:tcW w:type="dxa" w:w="2664"/>
            <w:vAlign w:val="center"/>
          </w:tcPr>
          <w:p>
            <w:pPr>
              <w:spacing w:after="0"/>
            </w:pPr>
            <w:r/>
            <w:r>
              <w:rPr>
                <w:rFonts w:ascii="Aptos" w:hAnsi="Aptos"/>
                <w:b w:val="0"/>
                <w:sz w:val="16"/>
              </w:rPr>
              <w:t>Recovery consolidation</w:t>
            </w:r>
          </w:p>
        </w:tc>
        <w:tc>
          <w:tcPr>
            <w:tcW w:type="dxa" w:w="2664"/>
            <w:vAlign w:val="center"/>
          </w:tcPr>
          <w:p>
            <w:pPr>
              <w:spacing w:after="0"/>
            </w:pPr>
            <w:r/>
            <w:r>
              <w:rPr>
                <w:rFonts w:ascii="Aptos" w:hAnsi="Aptos"/>
                <w:b w:val="0"/>
                <w:sz w:val="16"/>
              </w:rPr>
              <w:t>Starts 1 Jul</w:t>
            </w:r>
          </w:p>
        </w:tc>
        <w:tc>
          <w:tcPr>
            <w:tcW w:type="dxa" w:w="1584"/>
            <w:vAlign w:val="center"/>
          </w:tcPr>
          <w:p>
            <w:pPr>
              <w:spacing w:after="0"/>
            </w:pPr>
            <w:r/>
            <w:r>
              <w:rPr>
                <w:rFonts w:ascii="Aptos" w:hAnsi="Aptos"/>
                <w:b w:val="0"/>
                <w:sz w:val="16"/>
              </w:rPr>
              <w:t>Pending</w:t>
            </w:r>
          </w:p>
        </w:tc>
        <w:tc>
          <w:tcPr>
            <w:tcW w:type="dxa" w:w="2376"/>
            <w:vAlign w:val="center"/>
          </w:tcPr>
          <w:p>
            <w:pPr>
              <w:spacing w:after="0"/>
            </w:pPr>
            <w:r/>
            <w:r>
              <w:rPr>
                <w:rFonts w:ascii="Aptos" w:hAnsi="Aptos"/>
                <w:b w:val="0"/>
                <w:sz w:val="16"/>
              </w:rPr>
              <w:t>Exclude</w:t>
            </w:r>
          </w:p>
        </w:tc>
      </w:tr>
    </w:tbl>
    <w:p>
      <w:pPr>
        <w:spacing w:after="20"/>
      </w:pPr>
    </w:p>
    <w:p>
      <w:pPr>
        <w:pStyle w:val="Heading1"/>
      </w:pPr>
      <w:r>
        <w:t>5. Register and charting decisions</w:t>
      </w:r>
    </w:p>
    <w:p>
      <w:pPr>
        <w:pStyle w:val="ListBullet"/>
        <w:spacing w:after="40"/>
        <w:ind w:left="317"/>
      </w:pPr>
      <w:r>
        <w:t>Resolve current names from approved assignments effective on the chart date, then apply any approved override active at 15:00.</w:t>
      </w:r>
    </w:p>
    <w:p>
      <w:pPr>
        <w:pStyle w:val="ListBullet"/>
        <w:spacing w:after="40"/>
        <w:ind w:left="317"/>
      </w:pPr>
      <w:r>
        <w:t>Use Directory manager_record_id only for solid reporting lines between selected people.</w:t>
      </w:r>
    </w:p>
    <w:p>
      <w:pPr>
        <w:pStyle w:val="ListBullet"/>
        <w:spacing w:after="40"/>
        <w:ind w:left="317"/>
      </w:pPr>
      <w:r>
        <w:t>Use only current approved Escalation Matrix rows for dashed routes and preserve trigger and severity scope.</w:t>
      </w:r>
    </w:p>
    <w:p>
      <w:pPr>
        <w:pStyle w:val="ListBullet"/>
        <w:spacing w:after="40"/>
        <w:ind w:left="317"/>
      </w:pPr>
      <w:r>
        <w:t>Use only current Stakeholder Engagement rows for dotted relationships.</w:t>
      </w:r>
    </w:p>
    <w:p>
      <w:pPr>
        <w:pStyle w:val="ListBullet"/>
        <w:spacing w:after="40"/>
        <w:ind w:left="317"/>
      </w:pPr>
      <w:r>
        <w:t>Keep advisory groups and Central Emergency Dispatch outside Executive Oversight and Command Spine.</w:t>
      </w:r>
    </w:p>
    <w:p>
      <w:pPr>
        <w:pStyle w:val="ListBullet"/>
        <w:spacing w:after="40"/>
        <w:ind w:left="317"/>
      </w:pPr>
      <w:r>
        <w:t>Do not duplicate the Logistics Coordinator-to-Incident Commander relationship with a dashed route.</w:t>
      </w:r>
    </w:p>
    <w:p>
      <w:pPr>
        <w:pStyle w:val="ListBullet"/>
        <w:spacing w:after="40"/>
        <w:ind w:left="317"/>
      </w:pPr>
      <w:r>
        <w:t>Include the new Recovery Coordinator relationship and the current Continuity Planning Forum advisory link.</w:t>
      </w:r>
    </w:p>
    <w:p>
      <w:pPr>
        <w:pStyle w:val="ReviewNote"/>
      </w:pPr>
      <w:r>
        <w:t>The requested image is a current operating relationship map, not a complete organization chart. Do not add people solely because they manage a department or appear near a selected record in the workbook.</w:t>
      </w:r>
    </w:p>
    <w:p>
      <w:pPr>
        <w:pStyle w:val="Heading1"/>
      </w:pPr>
      <w:r>
        <w:t>Final review checks</w:t>
      </w:r>
    </w:p>
    <w:tbl>
      <w:tblPr>
        <w:tblStyle w:val="TableGrid"/>
        <w:tblW w:type="auto" w:w="0"/>
        <w:jc w:val="center"/>
        <w:tblLook w:firstColumn="1" w:firstRow="1" w:lastColumn="0" w:lastRow="0" w:noHBand="0" w:noVBand="1" w:val="04A0"/>
      </w:tblPr>
      <w:tblGrid>
        <w:gridCol w:w="5040"/>
        <w:gridCol w:w="5040"/>
      </w:tblGrid>
      <w:tr>
        <w:tc>
          <w:tcPr>
            <w:tcW w:type="dxa" w:w="1872"/>
            <w:vAlign w:val="center"/>
            <w:shd w:fill="183B56"/>
          </w:tcPr>
          <w:p>
            <w:pPr>
              <w:spacing w:after="0"/>
            </w:pPr>
            <w:r/>
            <w:r>
              <w:rPr>
                <w:rFonts w:ascii="Aptos" w:hAnsi="Aptos"/>
                <w:b/>
                <w:color w:val="FFFFFF"/>
                <w:sz w:val="16"/>
              </w:rPr>
              <w:t>Check</w:t>
            </w:r>
          </w:p>
        </w:tc>
        <w:tc>
          <w:tcPr>
            <w:tcW w:type="dxa" w:w="7560"/>
            <w:vAlign w:val="center"/>
            <w:shd w:fill="183B56"/>
          </w:tcPr>
          <w:p>
            <w:pPr>
              <w:spacing w:after="0"/>
            </w:pPr>
            <w:r/>
            <w:r>
              <w:rPr>
                <w:rFonts w:ascii="Aptos" w:hAnsi="Aptos"/>
                <w:b/>
                <w:color w:val="FFFFFF"/>
                <w:sz w:val="16"/>
              </w:rPr>
              <w:t>Pass condition</w:t>
            </w:r>
          </w:p>
        </w:tc>
      </w:tr>
      <w:tr>
        <w:tc>
          <w:tcPr>
            <w:tcW w:type="dxa" w:w="1872"/>
            <w:vAlign w:val="center"/>
          </w:tcPr>
          <w:p>
            <w:pPr>
              <w:spacing w:after="0"/>
            </w:pPr>
            <w:r/>
            <w:r>
              <w:rPr>
                <w:rFonts w:ascii="Aptos" w:hAnsi="Aptos"/>
                <w:b w:val="0"/>
                <w:sz w:val="16"/>
              </w:rPr>
              <w:t>Scope</w:t>
            </w:r>
          </w:p>
        </w:tc>
        <w:tc>
          <w:tcPr>
            <w:tcW w:type="dxa" w:w="7560"/>
            <w:vAlign w:val="center"/>
          </w:tcPr>
          <w:p>
            <w:pPr>
              <w:spacing w:after="0"/>
            </w:pPr>
            <w:r/>
            <w:r>
              <w:rPr>
                <w:rFonts w:ascii="Aptos" w:hAnsi="Aptos"/>
                <w:b w:val="0"/>
                <w:sz w:val="16"/>
              </w:rPr>
              <w:t>Central Campus + Building safety + Weekday business hours + 30 Jun 2026 + 15:00</w:t>
            </w:r>
          </w:p>
        </w:tc>
      </w:tr>
      <w:tr>
        <w:tc>
          <w:tcPr>
            <w:tcW w:type="dxa" w:w="1872"/>
            <w:vAlign w:val="center"/>
            <w:shd w:fill="EAF1F5"/>
          </w:tcPr>
          <w:p>
            <w:pPr>
              <w:spacing w:after="0"/>
            </w:pPr>
            <w:r/>
            <w:r>
              <w:rPr>
                <w:rFonts w:ascii="Aptos" w:hAnsi="Aptos"/>
                <w:b w:val="0"/>
                <w:sz w:val="16"/>
              </w:rPr>
              <w:t>Assignments</w:t>
            </w:r>
          </w:p>
        </w:tc>
        <w:tc>
          <w:tcPr>
            <w:tcW w:type="dxa" w:w="7560"/>
            <w:vAlign w:val="center"/>
            <w:shd w:fill="EAF1F5"/>
          </w:tcPr>
          <w:p>
            <w:pPr>
              <w:spacing w:after="0"/>
            </w:pPr>
            <w:r/>
            <w:r>
              <w:rPr>
                <w:rFonts w:ascii="Aptos" w:hAnsi="Aptos"/>
                <w:b w:val="0"/>
                <w:sz w:val="16"/>
              </w:rPr>
              <w:t>Current, approved, effective base rows only</w:t>
            </w:r>
          </w:p>
        </w:tc>
      </w:tr>
      <w:tr>
        <w:tc>
          <w:tcPr>
            <w:tcW w:type="dxa" w:w="1872"/>
            <w:vAlign w:val="center"/>
          </w:tcPr>
          <w:p>
            <w:pPr>
              <w:spacing w:after="0"/>
            </w:pPr>
            <w:r/>
            <w:r>
              <w:rPr>
                <w:rFonts w:ascii="Aptos" w:hAnsi="Aptos"/>
                <w:b w:val="0"/>
                <w:sz w:val="16"/>
              </w:rPr>
              <w:t>Overrides</w:t>
            </w:r>
          </w:p>
        </w:tc>
        <w:tc>
          <w:tcPr>
            <w:tcW w:type="dxa" w:w="7560"/>
            <w:vAlign w:val="center"/>
          </w:tcPr>
          <w:p>
            <w:pPr>
              <w:spacing w:after="0"/>
            </w:pPr>
            <w:r/>
            <w:r>
              <w:rPr>
                <w:rFonts w:ascii="Aptos" w:hAnsi="Aptos"/>
                <w:b w:val="0"/>
                <w:sz w:val="16"/>
              </w:rPr>
              <w:t>Approved and active at snapshot; replaces base holder</w:t>
            </w:r>
          </w:p>
        </w:tc>
      </w:tr>
      <w:tr>
        <w:tc>
          <w:tcPr>
            <w:tcW w:type="dxa" w:w="1872"/>
            <w:vAlign w:val="center"/>
            <w:shd w:fill="EAF1F5"/>
          </w:tcPr>
          <w:p>
            <w:pPr>
              <w:spacing w:after="0"/>
            </w:pPr>
            <w:r/>
            <w:r>
              <w:rPr>
                <w:rFonts w:ascii="Aptos" w:hAnsi="Aptos"/>
                <w:b w:val="0"/>
                <w:sz w:val="16"/>
              </w:rPr>
              <w:t>Reporting</w:t>
            </w:r>
          </w:p>
        </w:tc>
        <w:tc>
          <w:tcPr>
            <w:tcW w:type="dxa" w:w="7560"/>
            <w:vAlign w:val="center"/>
            <w:shd w:fill="EAF1F5"/>
          </w:tcPr>
          <w:p>
            <w:pPr>
              <w:spacing w:after="0"/>
            </w:pPr>
            <w:r/>
            <w:r>
              <w:rPr>
                <w:rFonts w:ascii="Aptos" w:hAnsi="Aptos"/>
                <w:b w:val="0"/>
                <w:sz w:val="16"/>
              </w:rPr>
              <w:t>Directory manager edges among selected people only</w:t>
            </w:r>
          </w:p>
        </w:tc>
      </w:tr>
      <w:tr>
        <w:tc>
          <w:tcPr>
            <w:tcW w:type="dxa" w:w="1872"/>
            <w:vAlign w:val="center"/>
          </w:tcPr>
          <w:p>
            <w:pPr>
              <w:spacing w:after="0"/>
            </w:pPr>
            <w:r/>
            <w:r>
              <w:rPr>
                <w:rFonts w:ascii="Aptos" w:hAnsi="Aptos"/>
                <w:b w:val="0"/>
                <w:sz w:val="16"/>
              </w:rPr>
              <w:t>Escalation</w:t>
            </w:r>
          </w:p>
        </w:tc>
        <w:tc>
          <w:tcPr>
            <w:tcW w:type="dxa" w:w="7560"/>
            <w:vAlign w:val="center"/>
          </w:tcPr>
          <w:p>
            <w:pPr>
              <w:spacing w:after="0"/>
            </w:pPr>
            <w:r/>
            <w:r>
              <w:rPr>
                <w:rFonts w:ascii="Aptos" w:hAnsi="Aptos"/>
                <w:b w:val="0"/>
                <w:sz w:val="16"/>
              </w:rPr>
              <w:t>Current matrix endpoints, direction, trigger, and severity retained</w:t>
            </w:r>
          </w:p>
        </w:tc>
      </w:tr>
      <w:tr>
        <w:tc>
          <w:tcPr>
            <w:tcW w:type="dxa" w:w="1872"/>
            <w:vAlign w:val="center"/>
            <w:shd w:fill="EAF1F5"/>
          </w:tcPr>
          <w:p>
            <w:pPr>
              <w:spacing w:after="0"/>
            </w:pPr>
            <w:r/>
            <w:r>
              <w:rPr>
                <w:rFonts w:ascii="Aptos" w:hAnsi="Aptos"/>
                <w:b w:val="0"/>
                <w:sz w:val="16"/>
              </w:rPr>
              <w:t>Advisory</w:t>
            </w:r>
          </w:p>
        </w:tc>
        <w:tc>
          <w:tcPr>
            <w:tcW w:type="dxa" w:w="7560"/>
            <w:vAlign w:val="center"/>
            <w:shd w:fill="EAF1F5"/>
          </w:tcPr>
          <w:p>
            <w:pPr>
              <w:spacing w:after="0"/>
            </w:pPr>
            <w:r/>
            <w:r>
              <w:rPr>
                <w:rFonts w:ascii="Aptos" w:hAnsi="Aptos"/>
                <w:b w:val="0"/>
                <w:sz w:val="16"/>
              </w:rPr>
              <w:t>Current engagement endpoint and relationship type retained</w:t>
            </w:r>
          </w:p>
        </w:tc>
      </w:tr>
      <w:tr>
        <w:tc>
          <w:tcPr>
            <w:tcW w:type="dxa" w:w="1872"/>
            <w:vAlign w:val="center"/>
          </w:tcPr>
          <w:p>
            <w:pPr>
              <w:spacing w:after="0"/>
            </w:pPr>
            <w:r/>
            <w:r>
              <w:rPr>
                <w:rFonts w:ascii="Aptos" w:hAnsi="Aptos"/>
                <w:b w:val="0"/>
                <w:sz w:val="16"/>
              </w:rPr>
              <w:t>Exclusions</w:t>
            </w:r>
          </w:p>
        </w:tc>
        <w:tc>
          <w:tcPr>
            <w:tcW w:type="dxa" w:w="7560"/>
            <w:vAlign w:val="center"/>
          </w:tcPr>
          <w:p>
            <w:pPr>
              <w:spacing w:after="0"/>
            </w:pPr>
            <w:r/>
            <w:r>
              <w:rPr>
                <w:rFonts w:ascii="Aptos" w:hAnsi="Aptos"/>
                <w:b w:val="0"/>
                <w:sz w:val="16"/>
              </w:rPr>
              <w:t>No ended, pending, future, other-campus, after-hours, or specialized-procedure record</w:t>
            </w:r>
          </w:p>
        </w:tc>
      </w:tr>
    </w:tbl>
    <w:p>
      <w:pPr>
        <w:spacing w:after="20"/>
      </w:pPr>
    </w:p>
    <w:p>
      <w:r>
        <w:br w:type="page"/>
      </w:r>
    </w:p>
    <w:p>
      <w:pPr>
        <w:pStyle w:val="Heading1"/>
      </w:pPr>
      <w:r>
        <w:t>30 June control-room addendum</w:t>
      </w:r>
    </w:p>
    <w:p>
      <w:r>
        <w:t>Issued for the 15:00 Central Campus safety review. This addendum records decisions released after the main June review was circulated. It does not replace the controlled registers; the time-bounded Control Bulletins sheet remains authoritative for exact scope, status, interval, endpoints, and reference IDs.</w:t>
      </w:r>
    </w:p>
    <w:p>
      <w:pPr>
        <w:pStyle w:val="Heading2"/>
      </w:pPr>
      <w:r>
        <w:t>6. Released temporary-works decisions</w:t>
      </w:r>
    </w:p>
    <w:p>
      <w:pPr>
        <w:pStyle w:val="ListBullet"/>
      </w:pPr>
      <w:r>
        <w:t>Command coverage. A released duty bulletin places Marcus Hale in the Incident Commander role from 14:30 until 17:00. Elena Rossi resumes the base assignment after the bulletin ends; the earlier review text describing Elena as current must therefore be read together with the same-day bulletin interval.</w:t>
      </w:r>
    </w:p>
    <w:p>
      <w:pPr>
        <w:pStyle w:val="ListBullet"/>
      </w:pPr>
      <w:r>
        <w:t>Building-systems coverage. Amina Shah holds the Building Systems Lead role from 14:45 until 16:30 while isolation and inspection work is active. Jun Park remains the base holder outside that window.</w:t>
      </w:r>
    </w:p>
    <w:p>
      <w:pPr>
        <w:pStyle w:val="ListBullet"/>
      </w:pPr>
      <w:r>
        <w:t>Temporary reporting. During Amina Shah's active systems-lead interval, the electrical and mechanical response leads report to the active systems lead for the controlled-works response. Their ordinary directory managers do not override this released temporary reporting instruction.</w:t>
      </w:r>
    </w:p>
    <w:p>
      <w:pPr>
        <w:pStyle w:val="ListBullet"/>
      </w:pPr>
      <w:r>
        <w:t>Additional escalation controls. Electrical isolation lasting more than 30 minutes and mechanical isolation affecting occupied space each create a direct Severity 2-3 escalation into the active Incident Commander. These are additions to, not replacements for, the current building-safety matrix routes.</w:t>
      </w:r>
    </w:p>
    <w:p>
      <w:pPr>
        <w:pStyle w:val="ListBullet"/>
      </w:pPr>
      <w:r>
        <w:t>Construction-interface advice. The Capital Works Coordination Cell is consulted by the active Building Systems Lead during the same temporary-works interval. It remains outside the management hierarchy.</w:t>
      </w:r>
    </w:p>
    <w:p>
      <w:pPr>
        <w:pStyle w:val="Heading2"/>
      </w:pPr>
      <w:r>
        <w:t>7. Competing records not released for this snapshot</w:t>
      </w:r>
    </w:p>
    <w:p>
      <w:pPr>
        <w:pStyle w:val="ListBullet"/>
      </w:pPr>
      <w:r>
        <w:t>A draft proposal to extend the command handoff through the evening was not approved.</w:t>
      </w:r>
    </w:p>
    <w:p>
      <w:pPr>
        <w:pStyle w:val="ListBullet"/>
      </w:pPr>
      <w:r>
        <w:t>A North Campus isolation bulletin uses the same role names but belongs to a different campus.</w:t>
      </w:r>
    </w:p>
    <w:p>
      <w:pPr>
        <w:pStyle w:val="ListBullet"/>
      </w:pPr>
      <w:r>
        <w:t>A utility-outage route involving the Electrical Response Lead is current for that procedure only.</w:t>
      </w:r>
    </w:p>
    <w:p>
      <w:pPr>
        <w:pStyle w:val="ListBullet"/>
      </w:pPr>
      <w:r>
        <w:t>A 16:30 proposal to transfer temporary reporting to the Recovery Coordinator begins after the requested 15:00 snapshot.</w:t>
      </w:r>
    </w:p>
    <w:p>
      <w:pPr>
        <w:pStyle w:val="ListBullet"/>
      </w:pPr>
      <w:r>
        <w:t>A withdrawn advisory proposal would have attached the Capital Works Coordination Cell to Access Coordination; it must not be used.</w:t>
      </w:r>
    </w:p>
    <w:p>
      <w:pPr>
        <w:pStyle w:val="Heading2"/>
      </w:pPr>
      <w:r>
        <w:t>8. Audit-label requirement</w:t>
      </w:r>
    </w:p>
    <w:p>
      <w:r>
        <w:t>For this review copy, every dashed and dotted connector must carry its controlling register reference. Dashed labels pair the reference with the trigger and severity scope. Dotted labels pair the engagement or bulletin reference with the relationship mode. Solid reporting lines remain unlabeled unless the temporary reporting source must be distinguished in a note or callout.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rPr>
                <w:sz w:val="17"/>
              </w:rPr>
              <w:t>Decision area</w:t>
            </w:r>
          </w:p>
        </w:tc>
        <w:tc>
          <w:tcPr>
            <w:tcW w:type="dxa" w:w="2016"/>
            <w:vAlign w:val="center"/>
          </w:tcPr>
          <w:p>
            <w:r>
              <w:rPr>
                <w:sz w:val="17"/>
              </w:rPr>
              <w:t>Active interval</w:t>
            </w:r>
          </w:p>
        </w:tc>
        <w:tc>
          <w:tcPr>
            <w:tcW w:type="dxa" w:w="2016"/>
            <w:vAlign w:val="center"/>
          </w:tcPr>
          <w:p>
            <w:r>
              <w:rPr>
                <w:sz w:val="17"/>
              </w:rPr>
              <w:t>Released state</w:t>
            </w:r>
          </w:p>
        </w:tc>
        <w:tc>
          <w:tcPr>
            <w:tcW w:type="dxa" w:w="2016"/>
            <w:vAlign w:val="center"/>
          </w:tcPr>
          <w:p>
            <w:r>
              <w:rPr>
                <w:sz w:val="17"/>
              </w:rPr>
              <w:t>Register source</w:t>
            </w:r>
          </w:p>
        </w:tc>
        <w:tc>
          <w:tcPr>
            <w:tcW w:type="dxa" w:w="2016"/>
            <w:vAlign w:val="center"/>
          </w:tcPr>
          <w:p>
            <w:r>
              <w:rPr>
                <w:sz w:val="17"/>
              </w:rPr>
              <w:t>15:00 treatment</w:t>
            </w:r>
          </w:p>
        </w:tc>
      </w:tr>
      <w:tr>
        <w:tc>
          <w:tcPr>
            <w:tcW w:type="dxa" w:w="2016"/>
            <w:vAlign w:val="center"/>
          </w:tcPr>
          <w:p>
            <w:r>
              <w:rPr>
                <w:sz w:val="17"/>
              </w:rPr>
              <w:t>Incident command</w:t>
            </w:r>
          </w:p>
        </w:tc>
        <w:tc>
          <w:tcPr>
            <w:tcW w:type="dxa" w:w="2016"/>
            <w:vAlign w:val="center"/>
          </w:tcPr>
          <w:p>
            <w:r>
              <w:rPr>
                <w:sz w:val="17"/>
              </w:rPr>
              <w:t>14:30-17:00</w:t>
            </w:r>
          </w:p>
        </w:tc>
        <w:tc>
          <w:tcPr>
            <w:tcW w:type="dxa" w:w="2016"/>
            <w:vAlign w:val="center"/>
          </w:tcPr>
          <w:p>
            <w:r>
              <w:rPr>
                <w:sz w:val="17"/>
              </w:rPr>
              <w:t>Released / Approved</w:t>
            </w:r>
          </w:p>
        </w:tc>
        <w:tc>
          <w:tcPr>
            <w:tcW w:type="dxa" w:w="2016"/>
            <w:vAlign w:val="center"/>
          </w:tcPr>
          <w:p>
            <w:r>
              <w:rPr>
                <w:sz w:val="17"/>
              </w:rPr>
              <w:t>Control Bulletins</w:t>
            </w:r>
          </w:p>
        </w:tc>
        <w:tc>
          <w:tcPr>
            <w:tcW w:type="dxa" w:w="2016"/>
            <w:vAlign w:val="center"/>
          </w:tcPr>
          <w:p>
            <w:r>
              <w:rPr>
                <w:sz w:val="17"/>
              </w:rPr>
              <w:t>Use temporary holder</w:t>
            </w:r>
          </w:p>
        </w:tc>
      </w:tr>
      <w:tr>
        <w:tc>
          <w:tcPr>
            <w:tcW w:type="dxa" w:w="2016"/>
            <w:vAlign w:val="center"/>
          </w:tcPr>
          <w:p>
            <w:r>
              <w:rPr>
                <w:sz w:val="17"/>
              </w:rPr>
              <w:t>Building systems lead</w:t>
            </w:r>
          </w:p>
        </w:tc>
        <w:tc>
          <w:tcPr>
            <w:tcW w:type="dxa" w:w="2016"/>
            <w:vAlign w:val="center"/>
          </w:tcPr>
          <w:p>
            <w:r>
              <w:rPr>
                <w:sz w:val="17"/>
              </w:rPr>
              <w:t>14:45-16:30</w:t>
            </w:r>
          </w:p>
        </w:tc>
        <w:tc>
          <w:tcPr>
            <w:tcW w:type="dxa" w:w="2016"/>
            <w:vAlign w:val="center"/>
          </w:tcPr>
          <w:p>
            <w:r>
              <w:rPr>
                <w:sz w:val="17"/>
              </w:rPr>
              <w:t>Released / Approved</w:t>
            </w:r>
          </w:p>
        </w:tc>
        <w:tc>
          <w:tcPr>
            <w:tcW w:type="dxa" w:w="2016"/>
            <w:vAlign w:val="center"/>
          </w:tcPr>
          <w:p>
            <w:r>
              <w:rPr>
                <w:sz w:val="17"/>
              </w:rPr>
              <w:t>Control Bulletins</w:t>
            </w:r>
          </w:p>
        </w:tc>
        <w:tc>
          <w:tcPr>
            <w:tcW w:type="dxa" w:w="2016"/>
            <w:vAlign w:val="center"/>
          </w:tcPr>
          <w:p>
            <w:r>
              <w:rPr>
                <w:sz w:val="17"/>
              </w:rPr>
              <w:t>Use temporary holder</w:t>
            </w:r>
          </w:p>
        </w:tc>
      </w:tr>
      <w:tr>
        <w:tc>
          <w:tcPr>
            <w:tcW w:type="dxa" w:w="2016"/>
            <w:vAlign w:val="center"/>
          </w:tcPr>
          <w:p>
            <w:r>
              <w:rPr>
                <w:sz w:val="17"/>
              </w:rPr>
              <w:t>Electrical and mechanical reporting</w:t>
            </w:r>
          </w:p>
        </w:tc>
        <w:tc>
          <w:tcPr>
            <w:tcW w:type="dxa" w:w="2016"/>
            <w:vAlign w:val="center"/>
          </w:tcPr>
          <w:p>
            <w:r>
              <w:rPr>
                <w:sz w:val="17"/>
              </w:rPr>
              <w:t>14:45-16:30</w:t>
            </w:r>
          </w:p>
        </w:tc>
        <w:tc>
          <w:tcPr>
            <w:tcW w:type="dxa" w:w="2016"/>
            <w:vAlign w:val="center"/>
          </w:tcPr>
          <w:p>
            <w:r>
              <w:rPr>
                <w:sz w:val="17"/>
              </w:rPr>
              <w:t>Released / Approved</w:t>
            </w:r>
          </w:p>
        </w:tc>
        <w:tc>
          <w:tcPr>
            <w:tcW w:type="dxa" w:w="2016"/>
            <w:vAlign w:val="center"/>
          </w:tcPr>
          <w:p>
            <w:r>
              <w:rPr>
                <w:sz w:val="17"/>
              </w:rPr>
              <w:t>Control Bulletins</w:t>
            </w:r>
          </w:p>
        </w:tc>
        <w:tc>
          <w:tcPr>
            <w:tcW w:type="dxa" w:w="2016"/>
            <w:vAlign w:val="center"/>
          </w:tcPr>
          <w:p>
            <w:r>
              <w:rPr>
                <w:sz w:val="17"/>
              </w:rPr>
              <w:t>Apply temporary reporting</w:t>
            </w:r>
          </w:p>
        </w:tc>
      </w:tr>
      <w:tr>
        <w:tc>
          <w:tcPr>
            <w:tcW w:type="dxa" w:w="2016"/>
            <w:vAlign w:val="center"/>
          </w:tcPr>
          <w:p>
            <w:r>
              <w:rPr>
                <w:sz w:val="17"/>
              </w:rPr>
              <w:t>Two isolation escalation routes</w:t>
            </w:r>
          </w:p>
        </w:tc>
        <w:tc>
          <w:tcPr>
            <w:tcW w:type="dxa" w:w="2016"/>
            <w:vAlign w:val="center"/>
          </w:tcPr>
          <w:p>
            <w:r>
              <w:rPr>
                <w:sz w:val="17"/>
              </w:rPr>
              <w:t>14:45-18:00</w:t>
            </w:r>
          </w:p>
        </w:tc>
        <w:tc>
          <w:tcPr>
            <w:tcW w:type="dxa" w:w="2016"/>
            <w:vAlign w:val="center"/>
          </w:tcPr>
          <w:p>
            <w:r>
              <w:rPr>
                <w:sz w:val="17"/>
              </w:rPr>
              <w:t>Released / Approved</w:t>
            </w:r>
          </w:p>
        </w:tc>
        <w:tc>
          <w:tcPr>
            <w:tcW w:type="dxa" w:w="2016"/>
            <w:vAlign w:val="center"/>
          </w:tcPr>
          <w:p>
            <w:r>
              <w:rPr>
                <w:sz w:val="17"/>
              </w:rPr>
              <w:t>Control Bulletins</w:t>
            </w:r>
          </w:p>
        </w:tc>
        <w:tc>
          <w:tcPr>
            <w:tcW w:type="dxa" w:w="2016"/>
            <w:vAlign w:val="center"/>
          </w:tcPr>
          <w:p>
            <w:r>
              <w:rPr>
                <w:sz w:val="17"/>
              </w:rPr>
              <w:t>Add both current routes</w:t>
            </w:r>
          </w:p>
        </w:tc>
      </w:tr>
      <w:tr>
        <w:tc>
          <w:tcPr>
            <w:tcW w:type="dxa" w:w="2016"/>
            <w:vAlign w:val="center"/>
          </w:tcPr>
          <w:p>
            <w:r>
              <w:rPr>
                <w:sz w:val="17"/>
              </w:rPr>
              <w:t>Capital works advice</w:t>
            </w:r>
          </w:p>
        </w:tc>
        <w:tc>
          <w:tcPr>
            <w:tcW w:type="dxa" w:w="2016"/>
            <w:vAlign w:val="center"/>
          </w:tcPr>
          <w:p>
            <w:r>
              <w:rPr>
                <w:sz w:val="17"/>
              </w:rPr>
              <w:t>14:45-16:30</w:t>
            </w:r>
          </w:p>
        </w:tc>
        <w:tc>
          <w:tcPr>
            <w:tcW w:type="dxa" w:w="2016"/>
            <w:vAlign w:val="center"/>
          </w:tcPr>
          <w:p>
            <w:r>
              <w:rPr>
                <w:sz w:val="17"/>
              </w:rPr>
              <w:t>Released / Approved</w:t>
            </w:r>
          </w:p>
        </w:tc>
        <w:tc>
          <w:tcPr>
            <w:tcW w:type="dxa" w:w="2016"/>
            <w:vAlign w:val="center"/>
          </w:tcPr>
          <w:p>
            <w:r>
              <w:rPr>
                <w:sz w:val="17"/>
              </w:rPr>
              <w:t>Control Bulletins + Stakeholder Engagements</w:t>
            </w:r>
          </w:p>
        </w:tc>
        <w:tc>
          <w:tcPr>
            <w:tcW w:type="dxa" w:w="2016"/>
            <w:vAlign w:val="center"/>
          </w:tcPr>
          <w:p>
            <w:r>
              <w:rPr>
                <w:sz w:val="17"/>
              </w:rPr>
              <w:t>Include current advisory link</w:t>
            </w:r>
          </w:p>
        </w:tc>
      </w:tr>
    </w:tbl>
    <w:p>
      <w:pPr>
        <w:pStyle w:val="Heading2"/>
      </w:pPr>
      <w:r>
        <w:t>Control cut-off</w:t>
      </w:r>
    </w:p>
    <w:p>
      <w:r>
        <w:t>Use only records released and approved by 14:45 local time that are active at 15:00. Later-issued, pending, rejected, withdrawn, expired, scheduled, or out-of-scope bulletins are excluded even when their effective interval appears close to the requested snapshot.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87B84"/>
        <w:sz w:val="16"/>
      </w:rPr>
      <w:t>Controlled review document | Approved decisions and noted pending items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183B56"/>
        <w:sz w:val="16"/>
      </w:rPr>
      <w:t>Northbridge Campus Operations | June 2026 Operating Model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83B5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6B8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83B5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viewNote">
    <w:name w:val="Review Note"/>
    <w:pPr>
      <w:spacing w:before="100" w:after="140"/>
      <w:ind w:left="259" w:right="259"/>
    </w:pPr>
    <w:rPr>
      <w:rFonts w:ascii="Aptos" w:hAnsi="Aptos"/>
      <w:b/>
      <w:color w:val="9B2C1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June 2026 Campus Operations Operating Model Review</dc:title>
  <dc:subject>Approved role and relationship changes for current escalation mapping</dc:subject>
  <dc:creator>Northbridge Campus Operations</dc:creator>
  <cp:keywords/>
  <dc:description>generated by python-docx</dc:description>
  <cp:lastModifiedBy/>
  <cp:revision>1</cp:revision>
  <dcterms:created xsi:type="dcterms:W3CDTF">2013-12-23T23:15:00Z</dcterms:created>
  <dcterms:modified xsi:type="dcterms:W3CDTF">2013-12-23T23:15:00Z</dcterms:modified>
  <cp:category/>
</cp:coreProperties>
</file>