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Northstar Workspace Desktop 5.8</w:t>
      </w:r>
    </w:p>
    <w:p>
      <w:pPr>
        <w:jc w:val="center"/>
      </w:pPr>
      <w:r>
        <w:rPr>
          <w:b/>
        </w:rPr>
        <w:t>Archived release governance brief · Baseline revision 1 · Issued June 30, 2026</w:t>
      </w:r>
    </w:p>
    <w:p>
      <w:pPr>
        <w:spacing w:before="80" w:after="80"/>
        <w:ind w:left="288" w:right="288"/>
      </w:pPr>
      <w:r>
        <w:rPr>
          <w:i/>
          <w:color w:val="595959"/>
        </w:rPr>
        <w:t>This document preserves the original baseline and the release-governance rules used during the publishing handoff. It is not a statement of the current release state.</w:t>
      </w:r>
    </w:p>
    <w:p>
      <w:pPr>
        <w:pStyle w:val="Heading1"/>
      </w:pPr>
      <w:r>
        <w:t>Baseline release record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6"/>
              </w:rPr>
              <w:t>Field</w:t>
            </w:r>
          </w:p>
        </w:tc>
        <w:tc>
          <w:tcPr>
            <w:tcW w:type="dxa" w:w="5112"/>
            <w:shd w:fill="D9EAF7"/>
            <w:vAlign w:val="center"/>
          </w:tcPr>
          <w:p>
            <w:r>
              <w:rPr>
                <w:b/>
                <w:sz w:val="16"/>
              </w:rPr>
              <w:t>Revision 1 value</w:t>
            </w:r>
          </w:p>
        </w:tc>
      </w:tr>
      <w:tr>
        <w:tc>
          <w:tcPr>
            <w:tcW w:type="dxa" w:w="5112"/>
          </w:tcPr>
          <w:p>
            <w:r>
              <w:rPr>
                <w:sz w:val="15"/>
              </w:rPr>
              <w:t>Product</w:t>
            </w:r>
          </w:p>
        </w:tc>
        <w:tc>
          <w:tcPr>
            <w:tcW w:type="dxa" w:w="5112"/>
          </w:tcPr>
          <w:p>
            <w:r>
              <w:rPr>
                <w:sz w:val="15"/>
              </w:rPr>
              <w:t>Northstar Workspace Desktop</w:t>
            </w:r>
          </w:p>
        </w:tc>
      </w:tr>
      <w:tr>
        <w:tc>
          <w:tcPr>
            <w:tcW w:type="dxa" w:w="5112"/>
          </w:tcPr>
          <w:p>
            <w:r>
              <w:rPr>
                <w:sz w:val="15"/>
              </w:rPr>
              <w:t>Version</w:t>
            </w:r>
          </w:p>
        </w:tc>
        <w:tc>
          <w:tcPr>
            <w:tcW w:type="dxa" w:w="5112"/>
          </w:tcPr>
          <w:p>
            <w:r>
              <w:rPr>
                <w:sz w:val="15"/>
              </w:rPr>
              <w:t>5.8.0</w:t>
            </w:r>
          </w:p>
        </w:tc>
      </w:tr>
      <w:tr>
        <w:tc>
          <w:tcPr>
            <w:tcW w:type="dxa" w:w="5112"/>
          </w:tcPr>
          <w:p>
            <w:r>
              <w:rPr>
                <w:sz w:val="15"/>
              </w:rPr>
              <w:t>Release status</w:t>
            </w:r>
          </w:p>
        </w:tc>
        <w:tc>
          <w:tcPr>
            <w:tcW w:type="dxa" w:w="5112"/>
          </w:tcPr>
          <w:p>
            <w:r>
              <w:rPr>
                <w:sz w:val="15"/>
              </w:rPr>
              <w:t>Release Candidate</w:t>
            </w:r>
          </w:p>
        </w:tc>
      </w:tr>
      <w:tr>
        <w:tc>
          <w:tcPr>
            <w:tcW w:type="dxa" w:w="5112"/>
          </w:tcPr>
          <w:p>
            <w:r>
              <w:rPr>
                <w:sz w:val="15"/>
              </w:rPr>
              <w:t>Channel</w:t>
            </w:r>
          </w:p>
        </w:tc>
        <w:tc>
          <w:tcPr>
            <w:tcW w:type="dxa" w:w="5112"/>
          </w:tcPr>
          <w:p>
            <w:r>
              <w:rPr>
                <w:sz w:val="15"/>
              </w:rPr>
              <w:t>Stable</w:t>
            </w:r>
          </w:p>
        </w:tc>
      </w:tr>
      <w:tr>
        <w:tc>
          <w:tcPr>
            <w:tcW w:type="dxa" w:w="5112"/>
          </w:tcPr>
          <w:p>
            <w:r>
              <w:rPr>
                <w:sz w:val="15"/>
              </w:rPr>
              <w:t>Package code</w:t>
            </w:r>
          </w:p>
        </w:tc>
        <w:tc>
          <w:tcPr>
            <w:tcW w:type="dxa" w:w="5112"/>
          </w:tcPr>
          <w:p>
            <w:r>
              <w:rPr>
                <w:sz w:val="15"/>
              </w:rPr>
              <w:t>NSW-WIN-580-RC1</w:t>
            </w:r>
          </w:p>
        </w:tc>
      </w:tr>
      <w:tr>
        <w:tc>
          <w:tcPr>
            <w:tcW w:type="dxa" w:w="5112"/>
          </w:tcPr>
          <w:p>
            <w:r>
              <w:rPr>
                <w:sz w:val="15"/>
              </w:rPr>
              <w:t>Copy bundle</w:t>
            </w:r>
          </w:p>
        </w:tc>
        <w:tc>
          <w:tcPr>
            <w:tcW w:type="dxa" w:w="5112"/>
          </w:tcPr>
          <w:p>
            <w:r>
              <w:rPr>
                <w:sz w:val="15"/>
              </w:rPr>
              <w:t>CB-580-A</w:t>
            </w:r>
          </w:p>
        </w:tc>
      </w:tr>
      <w:tr>
        <w:tc>
          <w:tcPr>
            <w:tcW w:type="dxa" w:w="5112"/>
          </w:tcPr>
          <w:p>
            <w:r>
              <w:rPr>
                <w:sz w:val="15"/>
              </w:rPr>
              <w:t>Rollout plan</w:t>
            </w:r>
          </w:p>
        </w:tc>
        <w:tc>
          <w:tcPr>
            <w:tcW w:type="dxa" w:w="5112"/>
          </w:tcPr>
          <w:p>
            <w:r>
              <w:rPr>
                <w:sz w:val="15"/>
              </w:rPr>
              <w:t>RP-580-RC</w:t>
            </w:r>
          </w:p>
        </w:tc>
      </w:tr>
      <w:tr>
        <w:tc>
          <w:tcPr>
            <w:tcW w:type="dxa" w:w="5112"/>
          </w:tcPr>
          <w:p>
            <w:r>
              <w:rPr>
                <w:sz w:val="15"/>
              </w:rPr>
              <w:t>Update policy</w:t>
            </w:r>
          </w:p>
        </w:tc>
        <w:tc>
          <w:tcPr>
            <w:tcW w:type="dxa" w:w="5112"/>
          </w:tcPr>
          <w:p>
            <w:r>
              <w:rPr>
                <w:sz w:val="15"/>
              </w:rPr>
              <w:t>UP-580-PREVIEW</w:t>
            </w:r>
          </w:p>
        </w:tc>
      </w:tr>
      <w:tr>
        <w:tc>
          <w:tcPr>
            <w:tcW w:type="dxa" w:w="5112"/>
          </w:tcPr>
          <w:p>
            <w:r>
              <w:rPr>
                <w:sz w:val="15"/>
              </w:rPr>
              <w:t>Support route</w:t>
            </w:r>
          </w:p>
        </w:tc>
        <w:tc>
          <w:tcPr>
            <w:tcW w:type="dxa" w:w="5112"/>
          </w:tcPr>
          <w:p>
            <w:r>
              <w:rPr>
                <w:sz w:val="15"/>
              </w:rPr>
              <w:t>SR-580-BASE</w:t>
            </w:r>
          </w:p>
        </w:tc>
      </w:tr>
      <w:tr>
        <w:tc>
          <w:tcPr>
            <w:tcW w:type="dxa" w:w="5112"/>
          </w:tcPr>
          <w:p>
            <w:r>
              <w:rPr>
                <w:sz w:val="15"/>
              </w:rPr>
              <w:t>Deployment profile</w:t>
            </w:r>
          </w:p>
        </w:tc>
        <w:tc>
          <w:tcPr>
            <w:tcW w:type="dxa" w:w="5112"/>
          </w:tcPr>
          <w:p>
            <w:r>
              <w:rPr>
                <w:sz w:val="15"/>
              </w:rPr>
              <w:t>DP-580-BASE</w:t>
            </w:r>
          </w:p>
        </w:tc>
      </w:tr>
    </w:tbl>
    <w:p>
      <w:pPr>
        <w:pStyle w:val="Heading1"/>
      </w:pPr>
      <w:r>
        <w:t>Publishing purpose</w:t>
      </w:r>
    </w:p>
    <w:p>
      <w:pPr>
        <w:pStyle w:val="ListBullet"/>
        <w:spacing w:after="40"/>
      </w:pPr>
      <w:r>
        <w:t>Produce one authoritative customer-facing current-state announcement, not a before-and-after comparison.</w:t>
      </w:r>
    </w:p>
    <w:p>
      <w:pPr>
        <w:pStyle w:val="ListBullet"/>
        <w:spacing w:after="40"/>
      </w:pPr>
      <w:r>
        <w:t>Give administrators enough information to judge timing, eligibility, deployment path, compatibility, payload size, prerequisites, and the next support action.</w:t>
      </w:r>
    </w:p>
    <w:p>
      <w:pPr>
        <w:pStyle w:val="ListBullet"/>
        <w:spacing w:after="40"/>
      </w:pPr>
      <w:r>
        <w:t>Keep operational identifiers, approval history, superseded alternatives, and reasoning trails out of the public artwork.</w:t>
      </w:r>
    </w:p>
    <w:p>
      <w:r>
        <w:br w:type="page"/>
      </w:r>
    </w:p>
    <w:p>
      <w:pPr>
        <w:pStyle w:val="Heading1"/>
      </w:pPr>
      <w:r>
        <w:t>1. Change eligibility and approval quorum</w:t>
      </w:r>
    </w:p>
    <w:p>
      <w:r>
        <w:t>Resolve the state at the task cutoff. A Change Ledger row can participate only when every condition below is satisfied.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6"/>
              </w:rPr>
              <w:t>Condition</w:t>
            </w:r>
          </w:p>
        </w:tc>
        <w:tc>
          <w:tcPr>
            <w:tcW w:type="dxa" w:w="5112"/>
            <w:shd w:fill="D9EAF7"/>
            <w:vAlign w:val="center"/>
          </w:tcPr>
          <w:p>
            <w:r>
              <w:rPr>
                <w:b/>
                <w:sz w:val="16"/>
              </w:rPr>
              <w:t>Requirement</w:t>
            </w:r>
          </w:p>
        </w:tc>
      </w:tr>
      <w:tr>
        <w:tc>
          <w:tcPr>
            <w:tcW w:type="dxa" w:w="5112"/>
          </w:tcPr>
          <w:p>
            <w:r>
              <w:rPr>
                <w:sz w:val="15"/>
              </w:rPr>
              <w:t>Release</w:t>
            </w:r>
          </w:p>
        </w:tc>
        <w:tc>
          <w:tcPr>
            <w:tcW w:type="dxa" w:w="5112"/>
          </w:tcPr>
          <w:p>
            <w:r>
              <w:rPr>
                <w:sz w:val="15"/>
              </w:rPr>
              <w:t>release_id matches the requested registry record</w:t>
            </w:r>
          </w:p>
        </w:tc>
      </w:tr>
      <w:tr>
        <w:tc>
          <w:tcPr>
            <w:tcW w:type="dxa" w:w="5112"/>
          </w:tcPr>
          <w:p>
            <w:r>
              <w:rPr>
                <w:sz w:val="15"/>
              </w:rPr>
              <w:t>State</w:t>
            </w:r>
          </w:p>
        </w:tc>
        <w:tc>
          <w:tcPr>
            <w:tcW w:type="dxa" w:w="5112"/>
          </w:tcPr>
          <w:p>
            <w:r>
              <w:rPr>
                <w:sz w:val="15"/>
              </w:rPr>
              <w:t>change_state is Ready</w:t>
            </w:r>
          </w:p>
        </w:tc>
      </w:tr>
      <w:tr>
        <w:tc>
          <w:tcPr>
            <w:tcW w:type="dxa" w:w="5112"/>
          </w:tcPr>
          <w:p>
            <w:r>
              <w:rPr>
                <w:sz w:val="15"/>
              </w:rPr>
              <w:t>Scope</w:t>
            </w:r>
          </w:p>
        </w:tc>
        <w:tc>
          <w:tcPr>
            <w:tcW w:type="dxa" w:w="5112"/>
          </w:tcPr>
          <w:p>
            <w:r>
              <w:rPr>
                <w:sz w:val="15"/>
              </w:rPr>
              <w:t>record_scope is Public</w:t>
            </w:r>
          </w:p>
        </w:tc>
      </w:tr>
      <w:tr>
        <w:tc>
          <w:tcPr>
            <w:tcW w:type="dxa" w:w="5112"/>
          </w:tcPr>
          <w:p>
            <w:r>
              <w:rPr>
                <w:sz w:val="15"/>
              </w:rPr>
              <w:t>Track</w:t>
            </w:r>
          </w:p>
        </w:tc>
        <w:tc>
          <w:tcPr>
            <w:tcW w:type="dxa" w:w="5112"/>
          </w:tcPr>
          <w:p>
            <w:r>
              <w:rPr>
                <w:sz w:val="15"/>
              </w:rPr>
              <w:t>deployment_track is Production</w:t>
            </w:r>
          </w:p>
        </w:tc>
      </w:tr>
      <w:tr>
        <w:tc>
          <w:tcPr>
            <w:tcW w:type="dxa" w:w="5112"/>
          </w:tcPr>
          <w:p>
            <w:r>
              <w:rPr>
                <w:sz w:val="15"/>
              </w:rPr>
              <w:t>Effective time</w:t>
            </w:r>
          </w:p>
        </w:tc>
        <w:tc>
          <w:tcPr>
            <w:tcW w:type="dxa" w:w="5112"/>
          </w:tcPr>
          <w:p>
            <w:r>
              <w:rPr>
                <w:sz w:val="15"/>
              </w:rPr>
              <w:t>effective_at is at or before the cutoff</w:t>
            </w:r>
          </w:p>
        </w:tc>
      </w:tr>
      <w:tr>
        <w:tc>
          <w:tcPr>
            <w:tcW w:type="dxa" w:w="5112"/>
          </w:tcPr>
          <w:p>
            <w:r>
              <w:rPr>
                <w:sz w:val="15"/>
              </w:rPr>
              <w:t>Expiry</w:t>
            </w:r>
          </w:p>
        </w:tc>
        <w:tc>
          <w:tcPr>
            <w:tcW w:type="dxa" w:w="5112"/>
          </w:tcPr>
          <w:p>
            <w:r>
              <w:rPr>
                <w:sz w:val="15"/>
              </w:rPr>
              <w:t>expires_at is blank or later than the cutoff</w:t>
            </w:r>
          </w:p>
        </w:tc>
      </w:tr>
      <w:tr>
        <w:tc>
          <w:tcPr>
            <w:tcW w:type="dxa" w:w="5112"/>
          </w:tcPr>
          <w:p>
            <w:r>
              <w:rPr>
                <w:sz w:val="15"/>
              </w:rPr>
              <w:t>Approval events</w:t>
            </w:r>
          </w:p>
        </w:tc>
        <w:tc>
          <w:tcPr>
            <w:tcW w:type="dxa" w:w="5112"/>
          </w:tcPr>
          <w:p>
            <w:r>
              <w:rPr>
                <w:sz w:val="15"/>
              </w:rPr>
              <w:t>Only decisions at or before the cutoff count</w:t>
            </w:r>
          </w:p>
        </w:tc>
      </w:tr>
    </w:tbl>
    <w:p>
      <w:pPr>
        <w:pStyle w:val="Heading2"/>
      </w:pPr>
      <w:r>
        <w:t>Approval policy</w:t>
      </w:r>
    </w:p>
    <w:p>
      <w:pPr>
        <w:pStyle w:val="ListBullet"/>
        <w:spacing w:after="40"/>
      </w:pPr>
      <w:r>
        <w:t>StandardPublic requires the latest decision from Product Marketing and the latest decision from Release Operations to both be Approve.</w:t>
      </w:r>
    </w:p>
    <w:p>
      <w:pPr>
        <w:pStyle w:val="ListBullet"/>
        <w:spacing w:after="40"/>
      </w:pPr>
      <w:r>
        <w:t>SecuritySensitive requires those two approvals plus the latest Security Engineering decision to be Approve.</w:t>
      </w:r>
    </w:p>
    <w:p>
      <w:pPr>
        <w:pStyle w:val="ListBullet"/>
        <w:spacing w:after="40"/>
      </w:pPr>
      <w:r>
        <w:t>A later Hold or Veto from a required role defeats an earlier approval. A missing required role is not approval.</w:t>
      </w:r>
    </w:p>
    <w:p>
      <w:pPr>
        <w:pStyle w:val="ListBullet"/>
        <w:spacing w:after="40"/>
      </w:pPr>
      <w:r>
        <w:t>Approval events marked Internal do not satisfy a public policy. Review-cycle numbers do not replace the time ordering of decisions.</w:t>
      </w:r>
    </w:p>
    <w:p>
      <w:pPr>
        <w:pStyle w:val="Heading2"/>
      </w:pPr>
      <w:r>
        <w:t>Priority and ordering</w:t>
      </w:r>
    </w:p>
    <w:p>
      <w:pPr>
        <w:pStyle w:val="ListBullet"/>
        <w:spacing w:after="40"/>
      </w:pPr>
      <w:r>
        <w:t>Rank eligible rows by priority_class: Emergency, then Launch, then Normal.</w:t>
      </w:r>
    </w:p>
    <w:p>
      <w:pPr>
        <w:pStyle w:val="ListBullet"/>
        <w:spacing w:after="40"/>
      </w:pPr>
      <w:r>
        <w:t>Within the same priority, use later effective_at, then higher revision_no, then later decision_at.</w:t>
      </w:r>
    </w:p>
    <w:p>
      <w:pPr>
        <w:pStyle w:val="ListBullet"/>
        <w:spacing w:after="40"/>
      </w:pPr>
      <w:r>
        <w:t>supersedes_change_id is explanatory only; it does not make an otherwise ineligible row valid.</w:t>
      </w:r>
    </w:p>
    <w:p>
      <w:pPr>
        <w:spacing w:before="80" w:after="80"/>
        <w:ind w:left="288" w:right="288"/>
      </w:pPr>
      <w:r>
        <w:rPr>
          <w:i/>
          <w:color w:val="595959"/>
        </w:rPr>
        <w:t>A row may pass ledger eligibility and still lose when its referenced catalog item is unusable. That distinction is central to code-field resolution.</w:t>
      </w:r>
    </w:p>
    <w:p>
      <w:r>
        <w:br w:type="page"/>
      </w:r>
    </w:p>
    <w:p>
      <w:pPr>
        <w:pStyle w:val="Heading1"/>
      </w:pPr>
      <w:r>
        <w:t>2. Direct fields and code fields</w:t>
      </w:r>
    </w:p>
    <w:p>
      <w:pPr>
        <w:pStyle w:val="Heading2"/>
      </w:pPr>
      <w:r>
        <w:t>Direct text fields</w:t>
      </w:r>
    </w:p>
    <w:p>
      <w:r>
        <w:t>For baseline_status and release_channel, select the highest-ranked eligible change. Use the registry baseline only when no eligible change exists.</w:t>
      </w:r>
    </w:p>
    <w:p>
      <w:pPr>
        <w:pStyle w:val="Heading2"/>
      </w:pPr>
      <w:r>
        <w:t>Code fields</w:t>
      </w:r>
    </w:p>
    <w:p>
      <w:r>
        <w:t>For package, copy bundle, rollout plan, update policy, support route, and deployment profile codes, evaluate eligible change candidates in ranked order. Select the first candidate whose referenced record is valid under every applicable rule. If the newest candidate fails catalog validation, continue to the next changed candidate; do not jump directly to the registry baseline.</w:t>
      </w:r>
    </w:p>
    <w:p>
      <w:pPr>
        <w:pStyle w:val="Heading2"/>
      </w:pPr>
      <w:r>
        <w:t>Common invalid reasons</w:t>
      </w:r>
    </w:p>
    <w:p>
      <w:pPr>
        <w:pStyle w:val="ListBullet"/>
        <w:spacing w:after="40"/>
      </w:pPr>
      <w:r>
        <w:t>Catalog item is Draft, Retired, Internal, Pilot, future-valid, expired, product-mismatched, version-mismatched, lifecycle-incompatible, or channel-incompatible.</w:t>
      </w:r>
    </w:p>
    <w:p>
      <w:pPr>
        <w:pStyle w:val="ListBullet"/>
        <w:spacing w:after="40"/>
      </w:pPr>
      <w:r>
        <w:t>Package is unpublished at the cutoff, unsigned, unvalidated, retired, or in a stage incompatible with the resolved lifecycle status.</w:t>
      </w:r>
    </w:p>
    <w:p>
      <w:pPr>
        <w:pStyle w:val="ListBullet"/>
        <w:spacing w:after="40"/>
      </w:pPr>
      <w:r>
        <w:t>Copy bundle contains even one feature that is not independently valid for the resolved public release.</w:t>
      </w:r>
    </w:p>
    <w:p>
      <w:pPr>
        <w:pStyle w:val="ListBullet"/>
        <w:spacing w:after="40"/>
      </w:pPr>
      <w:r>
        <w:t>Support or policy record does not cover en-US, the registry market locale.</w:t>
      </w:r>
    </w:p>
    <w:p>
      <w:pPr>
        <w:pStyle w:val="Heading2"/>
      </w:pPr>
      <w:r>
        <w:t>Version selector interpretation</w:t>
      </w:r>
    </w:p>
    <w:p>
      <w:pPr>
        <w:pStyle w:val="ListBullet"/>
        <w:spacing w:after="40"/>
      </w:pPr>
      <w:r>
        <w:t>An exact selector must match exactly. A selector such as 5.8.* matches patch releases within 5.8. A wildcard * matches any version.</w:t>
      </w:r>
    </w:p>
    <w:p>
      <w:pPr>
        <w:pStyle w:val="ListBullet"/>
        <w:spacing w:after="40"/>
      </w:pPr>
      <w:r>
        <w:t>Where a separate minimum and maximum version are supplied, the requested semantic version must fall within the inclusive range.</w:t>
      </w:r>
    </w:p>
    <w:p>
      <w:r>
        <w:br w:type="page"/>
      </w:r>
    </w:p>
    <w:p>
      <w:pPr>
        <w:pStyle w:val="Heading1"/>
      </w:pPr>
      <w:r>
        <w:t>3. Publication Catalog and Feature Catalog</w:t>
      </w:r>
    </w:p>
    <w:p>
      <w:r>
        <w:t>Publication Catalog payload columns are interpreted by catalog_type as follows: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center"/>
          </w:tcPr>
          <w:p>
            <w:r>
              <w:rPr>
                <w:b/>
                <w:sz w:val="16"/>
              </w:rPr>
              <w:t>Catalog type</w:t>
            </w:r>
          </w:p>
        </w:tc>
        <w:tc>
          <w:tcPr>
            <w:tcW w:type="dxa" w:w="1704"/>
            <w:shd w:fill="D9EAF7"/>
            <w:vAlign w:val="center"/>
          </w:tcPr>
          <w:p>
            <w:r>
              <w:rPr>
                <w:b/>
                <w:sz w:val="16"/>
              </w:rPr>
              <w:t>payload_1</w:t>
            </w:r>
          </w:p>
        </w:tc>
        <w:tc>
          <w:tcPr>
            <w:tcW w:type="dxa" w:w="1704"/>
            <w:shd w:fill="D9EAF7"/>
            <w:vAlign w:val="center"/>
          </w:tcPr>
          <w:p>
            <w:r>
              <w:rPr>
                <w:b/>
                <w:sz w:val="16"/>
              </w:rPr>
              <w:t>payload_2</w:t>
            </w:r>
          </w:p>
        </w:tc>
        <w:tc>
          <w:tcPr>
            <w:tcW w:type="dxa" w:w="1704"/>
            <w:shd w:fill="D9EAF7"/>
            <w:vAlign w:val="center"/>
          </w:tcPr>
          <w:p>
            <w:r>
              <w:rPr>
                <w:b/>
                <w:sz w:val="16"/>
              </w:rPr>
              <w:t>payload_3</w:t>
            </w:r>
          </w:p>
        </w:tc>
        <w:tc>
          <w:tcPr>
            <w:tcW w:type="dxa" w:w="1704"/>
            <w:shd w:fill="D9EAF7"/>
            <w:vAlign w:val="center"/>
          </w:tcPr>
          <w:p>
            <w:r>
              <w:rPr>
                <w:b/>
                <w:sz w:val="16"/>
              </w:rPr>
              <w:t>payload_4</w:t>
            </w:r>
          </w:p>
        </w:tc>
        <w:tc>
          <w:tcPr>
            <w:tcW w:type="dxa" w:w="1704"/>
            <w:shd w:fill="D9EAF7"/>
            <w:vAlign w:val="center"/>
          </w:tcPr>
          <w:p>
            <w:r>
              <w:rPr>
                <w:b/>
                <w:sz w:val="16"/>
              </w:rPr>
              <w:t>payload_5 / feature_codes</w:t>
            </w:r>
          </w:p>
        </w:tc>
      </w:tr>
      <w:tr>
        <w:tc>
          <w:tcPr>
            <w:tcW w:type="dxa" w:w="1704"/>
          </w:tcPr>
          <w:p>
            <w:r>
              <w:rPr>
                <w:sz w:val="15"/>
              </w:rPr>
              <w:t>copy_bundle</w:t>
            </w:r>
          </w:p>
        </w:tc>
        <w:tc>
          <w:tcPr>
            <w:tcW w:type="dxa" w:w="1704"/>
          </w:tcPr>
          <w:p>
            <w:r>
              <w:rPr>
                <w:sz w:val="15"/>
              </w:rPr>
              <w:t>Headline</w:t>
            </w:r>
          </w:p>
        </w:tc>
        <w:tc>
          <w:tcPr>
            <w:tcW w:type="dxa" w:w="1704"/>
          </w:tcPr>
          <w:p>
            <w:r>
              <w:rPr>
                <w:sz w:val="15"/>
              </w:rPr>
              <w:t>Customer value line</w:t>
            </w:r>
          </w:p>
        </w:tc>
        <w:tc>
          <w:tcPr>
            <w:tcW w:type="dxa" w:w="1704"/>
          </w:tcPr>
          <w:p>
            <w:r>
              <w:rPr>
                <w:sz w:val="15"/>
              </w:rPr>
              <w:t>—</w:t>
            </w:r>
          </w:p>
        </w:tc>
        <w:tc>
          <w:tcPr>
            <w:tcW w:type="dxa" w:w="1704"/>
          </w:tcPr>
          <w:p>
            <w:r>
              <w:rPr>
                <w:sz w:val="15"/>
              </w:rPr>
              <w:t>—</w:t>
            </w:r>
          </w:p>
        </w:tc>
        <w:tc>
          <w:tcPr>
            <w:tcW w:type="dxa" w:w="1704"/>
          </w:tcPr>
          <w:p>
            <w:r>
              <w:rPr>
                <w:sz w:val="15"/>
              </w:rPr>
              <w:t>feature_codes in display order</w:t>
            </w:r>
          </w:p>
        </w:tc>
      </w:tr>
      <w:tr>
        <w:tc>
          <w:tcPr>
            <w:tcW w:type="dxa" w:w="1704"/>
          </w:tcPr>
          <w:p>
            <w:r>
              <w:rPr>
                <w:sz w:val="15"/>
              </w:rPr>
              <w:t>rollout_plan</w:t>
            </w:r>
          </w:p>
        </w:tc>
        <w:tc>
          <w:tcPr>
            <w:tcW w:type="dxa" w:w="1704"/>
          </w:tcPr>
          <w:p>
            <w:r>
              <w:rPr>
                <w:sz w:val="15"/>
              </w:rPr>
              <w:t>Public start date</w:t>
            </w:r>
          </w:p>
        </w:tc>
        <w:tc>
          <w:tcPr>
            <w:tcW w:type="dxa" w:w="1704"/>
          </w:tcPr>
          <w:p>
            <w:r>
              <w:rPr>
                <w:sz w:val="15"/>
              </w:rPr>
              <w:t>Phase count</w:t>
            </w:r>
          </w:p>
        </w:tc>
        <w:tc>
          <w:tcPr>
            <w:tcW w:type="dxa" w:w="1704"/>
          </w:tcPr>
          <w:p>
            <w:r>
              <w:rPr>
                <w:sz w:val="15"/>
              </w:rPr>
              <w:t>Business days per phase</w:t>
            </w:r>
          </w:p>
        </w:tc>
        <w:tc>
          <w:tcPr>
            <w:tcW w:type="dxa" w:w="1704"/>
          </w:tcPr>
          <w:p>
            <w:r>
              <w:rPr>
                <w:sz w:val="15"/>
              </w:rPr>
              <w:t>Default scope</w:t>
            </w:r>
          </w:p>
        </w:tc>
        <w:tc>
          <w:tcPr>
            <w:tcW w:type="dxa" w:w="1704"/>
          </w:tcPr>
          <w:p>
            <w:r>
              <w:rPr>
                <w:sz w:val="15"/>
              </w:rPr>
              <w:t>Regional-control instruction</w:t>
            </w:r>
          </w:p>
        </w:tc>
      </w:tr>
      <w:tr>
        <w:tc>
          <w:tcPr>
            <w:tcW w:type="dxa" w:w="1704"/>
          </w:tcPr>
          <w:p>
            <w:r>
              <w:rPr>
                <w:sz w:val="15"/>
              </w:rPr>
              <w:t>update_policy</w:t>
            </w:r>
          </w:p>
        </w:tc>
        <w:tc>
          <w:tcPr>
            <w:tcW w:type="dxa" w:w="1704"/>
          </w:tcPr>
          <w:p>
            <w:r>
              <w:rPr>
                <w:sz w:val="15"/>
              </w:rPr>
              <w:t>Opt-in rule</w:t>
            </w:r>
          </w:p>
        </w:tc>
        <w:tc>
          <w:tcPr>
            <w:tcW w:type="dxa" w:w="1704"/>
          </w:tcPr>
          <w:p>
            <w:r>
              <w:rPr>
                <w:sz w:val="15"/>
              </w:rPr>
              <w:t>Automatic delay in business days</w:t>
            </w:r>
          </w:p>
        </w:tc>
        <w:tc>
          <w:tcPr>
            <w:tcW w:type="dxa" w:w="1704"/>
          </w:tcPr>
          <w:p>
            <w:r>
              <w:rPr>
                <w:sz w:val="15"/>
              </w:rPr>
              <w:t>Automatic start time</w:t>
            </w:r>
          </w:p>
        </w:tc>
        <w:tc>
          <w:tcPr>
            <w:tcW w:type="dxa" w:w="1704"/>
          </w:tcPr>
          <w:p>
            <w:r>
              <w:rPr>
                <w:sz w:val="15"/>
              </w:rPr>
              <w:t>Scheduling anchor</w:t>
            </w:r>
          </w:p>
        </w:tc>
        <w:tc>
          <w:tcPr>
            <w:tcW w:type="dxa" w:w="1704"/>
          </w:tcPr>
          <w:p>
            <w:r>
              <w:rPr>
                <w:sz w:val="15"/>
              </w:rPr>
              <w:t>Policy segment</w:t>
            </w:r>
          </w:p>
        </w:tc>
      </w:tr>
      <w:tr>
        <w:tc>
          <w:tcPr>
            <w:tcW w:type="dxa" w:w="1704"/>
          </w:tcPr>
          <w:p>
            <w:r>
              <w:rPr>
                <w:sz w:val="15"/>
              </w:rPr>
              <w:t>support_route</w:t>
            </w:r>
          </w:p>
        </w:tc>
        <w:tc>
          <w:tcPr>
            <w:tcW w:type="dxa" w:w="1704"/>
          </w:tcPr>
          <w:p>
            <w:r>
              <w:rPr>
                <w:sz w:val="15"/>
              </w:rPr>
              <w:t>Public destination</w:t>
            </w:r>
          </w:p>
        </w:tc>
        <w:tc>
          <w:tcPr>
            <w:tcW w:type="dxa" w:w="1704"/>
          </w:tcPr>
          <w:p>
            <w:r>
              <w:rPr>
                <w:sz w:val="15"/>
              </w:rPr>
              <w:t>Customer action label</w:t>
            </w:r>
          </w:p>
        </w:tc>
        <w:tc>
          <w:tcPr>
            <w:tcW w:type="dxa" w:w="1704"/>
          </w:tcPr>
          <w:p>
            <w:r>
              <w:rPr>
                <w:sz w:val="15"/>
              </w:rPr>
              <w:t>—</w:t>
            </w:r>
          </w:p>
        </w:tc>
        <w:tc>
          <w:tcPr>
            <w:tcW w:type="dxa" w:w="1704"/>
          </w:tcPr>
          <w:p>
            <w:r>
              <w:rPr>
                <w:sz w:val="15"/>
              </w:rPr>
              <w:t>—</w:t>
            </w:r>
          </w:p>
        </w:tc>
        <w:tc>
          <w:tcPr>
            <w:tcW w:type="dxa" w:w="1704"/>
          </w:tcPr>
          <w:p>
            <w:r>
              <w:rPr>
                <w:sz w:val="15"/>
              </w:rPr>
              <w:t>—</w:t>
            </w:r>
          </w:p>
        </w:tc>
      </w:tr>
      <w:tr>
        <w:tc>
          <w:tcPr>
            <w:tcW w:type="dxa" w:w="1704"/>
          </w:tcPr>
          <w:p>
            <w:r>
              <w:rPr>
                <w:sz w:val="15"/>
              </w:rPr>
              <w:t>deployment_profile</w:t>
            </w:r>
          </w:p>
        </w:tc>
        <w:tc>
          <w:tcPr>
            <w:tcW w:type="dxa" w:w="1704"/>
          </w:tcPr>
          <w:p>
            <w:r>
              <w:rPr>
                <w:sz w:val="15"/>
              </w:rPr>
              <w:t>Plan-group code</w:t>
            </w:r>
          </w:p>
        </w:tc>
        <w:tc>
          <w:tcPr>
            <w:tcW w:type="dxa" w:w="1704"/>
          </w:tcPr>
          <w:p>
            <w:r>
              <w:rPr>
                <w:sz w:val="15"/>
              </w:rPr>
              <w:t>Deployment method</w:t>
            </w:r>
          </w:p>
        </w:tc>
        <w:tc>
          <w:tcPr>
            <w:tcW w:type="dxa" w:w="1704"/>
          </w:tcPr>
          <w:p>
            <w:r>
              <w:rPr>
                <w:sz w:val="15"/>
              </w:rPr>
              <w:t>Public release ring</w:t>
            </w:r>
          </w:p>
        </w:tc>
        <w:tc>
          <w:tcPr>
            <w:tcW w:type="dxa" w:w="1704"/>
          </w:tcPr>
          <w:p>
            <w:r>
              <w:rPr>
                <w:sz w:val="15"/>
              </w:rPr>
              <w:t>Customer prerequisites</w:t>
            </w:r>
          </w:p>
        </w:tc>
        <w:tc>
          <w:tcPr>
            <w:tcW w:type="dxa" w:w="1704"/>
          </w:tcPr>
          <w:p>
            <w:r>
              <w:rPr>
                <w:sz w:val="15"/>
              </w:rPr>
              <w:t>—</w:t>
            </w:r>
          </w:p>
        </w:tc>
      </w:tr>
    </w:tbl>
    <w:p>
      <w:pPr>
        <w:pStyle w:val="Heading2"/>
      </w:pPr>
      <w:r>
        <w:t>Publication record validity</w:t>
      </w:r>
    </w:p>
    <w:p>
      <w:pPr>
        <w:pStyle w:val="ListBullet"/>
        <w:spacing w:after="40"/>
      </w:pPr>
      <w:r>
        <w:t>audience must be Public, deployment_track must be Production, publish_state must be Published, and the cutoff must fall inside the validity window.</w:t>
      </w:r>
    </w:p>
    <w:p>
      <w:pPr>
        <w:pStyle w:val="ListBullet"/>
        <w:spacing w:after="40"/>
      </w:pPr>
      <w:r>
        <w:t>The product, version selector, resolved lifecycle status, resolved channel, and en-US locale coverage must all match.</w:t>
      </w:r>
    </w:p>
    <w:p>
      <w:pPr>
        <w:pStyle w:val="Heading2"/>
      </w:pPr>
      <w:r>
        <w:t>Copy bundle validation</w:t>
      </w:r>
    </w:p>
    <w:p>
      <w:pPr>
        <w:pStyle w:val="ListBullet"/>
        <w:spacing w:after="40"/>
      </w:pPr>
      <w:r>
        <w:t>Use the headline and value line from one bundle. Do not mix wording between bundles.</w:t>
      </w:r>
    </w:p>
    <w:p>
      <w:pPr>
        <w:pStyle w:val="ListBullet"/>
        <w:spacing w:after="40"/>
      </w:pPr>
      <w:r>
        <w:t>Resolve every feature code through Feature Catalog and preserve the listed order.</w:t>
      </w:r>
    </w:p>
    <w:p>
      <w:pPr>
        <w:pStyle w:val="ListBullet"/>
        <w:spacing w:after="40"/>
      </w:pPr>
      <w:r>
        <w:t>Every feature must match product and version, be Public and Production, match lifecycle and channel, be legally Cleared, be launch_ready Yes, and be current at the cutoff.</w:t>
      </w:r>
    </w:p>
    <w:p>
      <w:pPr>
        <w:pStyle w:val="ListBullet"/>
        <w:spacing w:after="40"/>
      </w:pPr>
      <w:r>
        <w:t>If any listed feature fails, the entire copy bundle fails and code-field fallback continues.</w:t>
      </w:r>
    </w:p>
    <w:p>
      <w:r>
        <w:br w:type="page"/>
      </w:r>
    </w:p>
    <w:p>
      <w:pPr>
        <w:pStyle w:val="Heading1"/>
      </w:pPr>
      <w:r>
        <w:t>4. Rollout arithmetic and regional overlays</w:t>
      </w:r>
    </w:p>
    <w:p>
      <w:pPr>
        <w:pStyle w:val="Heading2"/>
      </w:pPr>
      <w:r>
        <w:t>Default rollout window</w:t>
      </w:r>
    </w:p>
    <w:p>
      <w:pPr>
        <w:pStyle w:val="ListBullet"/>
        <w:spacing w:after="40"/>
      </w:pPr>
      <w:r>
        <w:t>The public start is rollout payload_1.</w:t>
      </w:r>
    </w:p>
    <w:p>
      <w:pPr>
        <w:pStyle w:val="ListBullet"/>
        <w:spacing w:after="40"/>
      </w:pPr>
      <w:r>
        <w:t>Total rollout duration equals phase count multiplied by business days per phase.</w:t>
      </w:r>
    </w:p>
    <w:p>
      <w:pPr>
        <w:pStyle w:val="ListBullet"/>
        <w:spacing w:after="40"/>
      </w:pPr>
      <w:r>
        <w:t>Count the public start as business day 1. Use the Global rows in Business Calendar and skip weekends and listed holidays.</w:t>
      </w:r>
    </w:p>
    <w:p>
      <w:pPr>
        <w:pStyle w:val="ListBullet"/>
        <w:spacing w:after="40"/>
      </w:pPr>
      <w:r>
        <w:t>The rollout end is the date of the final counted business day. Publish both the business-day duration and inclusive date range.</w:t>
      </w:r>
    </w:p>
    <w:p>
      <w:pPr>
        <w:pStyle w:val="Heading2"/>
      </w:pPr>
      <w:r>
        <w:t>Regional Controls</w:t>
      </w:r>
    </w:p>
    <w:p>
      <w:pPr>
        <w:pStyle w:val="ListBullet"/>
        <w:spacing w:after="40"/>
      </w:pPr>
      <w:r>
        <w:t>Only Approved, Public, Production controls for the selected rollout code that are effective and unexpired at the cutoff may alter the public schedule.</w:t>
      </w:r>
    </w:p>
    <w:p>
      <w:pPr>
        <w:pStyle w:val="ListBullet"/>
        <w:spacing w:after="40"/>
      </w:pPr>
      <w:r>
        <w:t>For each region, use the highest priority active control; break a priority tie by later effective_at.</w:t>
      </w:r>
    </w:p>
    <w:p>
      <w:pPr>
        <w:pStyle w:val="ListBullet"/>
        <w:spacing w:after="40"/>
      </w:pPr>
      <w:r>
        <w:t>HOLD_THROUGH means the region starts on the first business day in that regional calendar after date_value.</w:t>
      </w:r>
    </w:p>
    <w:p>
      <w:pPr>
        <w:pStyle w:val="ListBullet"/>
        <w:spacing w:after="40"/>
      </w:pPr>
      <w:r>
        <w:t>FIXED_START uses date_value when it is a business day; otherwise move to the next regional business day.</w:t>
      </w:r>
    </w:p>
    <w:p>
      <w:pPr>
        <w:pStyle w:val="ListBullet"/>
        <w:spacing w:after="40"/>
      </w:pPr>
      <w:r>
        <w:t>A region whose start is later than the default public start is removed from the default scope and listed with its own date.</w:t>
      </w:r>
    </w:p>
    <w:p>
      <w:pPr>
        <w:pStyle w:val="ListBullet"/>
        <w:spacing w:after="40"/>
      </w:pPr>
      <w:r>
        <w:t>Pending, withdrawn, internal, pilot, expired, or other-rollout controls do not affect the public announcement.</w:t>
      </w:r>
    </w:p>
    <w:p>
      <w:pPr>
        <w:pStyle w:val="Heading2"/>
      </w:pPr>
      <w:r>
        <w:t>Scope wording</w:t>
      </w:r>
    </w:p>
    <w:p>
      <w:r>
        <w:t>When the default scope is Worldwide and active controls delay specific regions, state “Worldwide except …” and list each delayed region with its resolved customer start date.</w:t>
      </w:r>
    </w:p>
    <w:p>
      <w:r>
        <w:br w:type="page"/>
      </w:r>
    </w:p>
    <w:p>
      <w:pPr>
        <w:pStyle w:val="Heading1"/>
      </w:pPr>
      <w:r>
        <w:t>5. Deployment, entitlement, and update timing</w:t>
      </w:r>
    </w:p>
    <w:p>
      <w:pPr>
        <w:pStyle w:val="Heading2"/>
      </w:pPr>
      <w:r>
        <w:t>Deployment profile</w:t>
      </w:r>
    </w:p>
    <w:p>
      <w:pPr>
        <w:pStyle w:val="ListBullet"/>
        <w:spacing w:after="40"/>
      </w:pPr>
      <w:r>
        <w:t>Use the selected deployment profile for plan-group code, deployment method, public release ring, and customer prerequisites.</w:t>
      </w:r>
    </w:p>
    <w:p>
      <w:pPr>
        <w:pStyle w:val="ListBullet"/>
        <w:spacing w:after="40"/>
      </w:pPr>
      <w:r>
        <w:t>The release ring is customer-facing only when the profile is Public and Production.</w:t>
      </w:r>
    </w:p>
    <w:p>
      <w:pPr>
        <w:pStyle w:val="Heading2"/>
      </w:pPr>
      <w:r>
        <w:t>Eligible plans</w:t>
      </w:r>
    </w:p>
    <w:p>
      <w:pPr>
        <w:pStyle w:val="ListBullet"/>
        <w:spacing w:after="40"/>
      </w:pPr>
      <w:r>
        <w:t>Join the profile plan-group code to Entitlement Matrix.</w:t>
      </w:r>
    </w:p>
    <w:p>
      <w:pPr>
        <w:pStyle w:val="ListBullet"/>
        <w:spacing w:after="40"/>
      </w:pPr>
      <w:r>
        <w:t>Include only rows that are Public, Production, Active, deployment_allowed Yes, current at the cutoff, match the product, and include version 5.8.0 in the inclusive version range.</w:t>
      </w:r>
    </w:p>
    <w:p>
      <w:pPr>
        <w:pStyle w:val="ListBullet"/>
        <w:spacing w:after="40"/>
      </w:pPr>
      <w:r>
        <w:t>Do not include suspended plans, denied plans, internal rows, or neighboring plan groups.</w:t>
      </w:r>
    </w:p>
    <w:p>
      <w:pPr>
        <w:pStyle w:val="Heading2"/>
      </w:pPr>
      <w:r>
        <w:t>Opt-in and automatic update</w:t>
      </w:r>
    </w:p>
    <w:p>
      <w:pPr>
        <w:pStyle w:val="ListBullet"/>
        <w:spacing w:after="40"/>
      </w:pPr>
      <w:r>
        <w:t>Interpret “Opt-in from public start through rollout end” as an inclusive window using the resolved default rollout dates.</w:t>
      </w:r>
    </w:p>
    <w:p>
      <w:pPr>
        <w:pStyle w:val="ListBullet"/>
        <w:spacing w:after="40"/>
      </w:pPr>
      <w:r>
        <w:t>When the update policy anchors automatic updating after rollout completion, begin counting on the first Global business day after rollout end.</w:t>
      </w:r>
    </w:p>
    <w:p>
      <w:pPr>
        <w:pStyle w:val="ListBullet"/>
        <w:spacing w:after="40"/>
      </w:pPr>
      <w:r>
        <w:t>Add the business-day delay from payload_2, then attach the UTC time from payload_3.</w:t>
      </w:r>
    </w:p>
    <w:p>
      <w:pPr>
        <w:pStyle w:val="ListBullet"/>
        <w:spacing w:after="40"/>
      </w:pPr>
      <w:r>
        <w:t>Regional exception dates do not extend the default automatic-update calculation unless the policy explicitly says regional completion.</w:t>
      </w:r>
    </w:p>
    <w:p>
      <w:r>
        <w:br w:type="page"/>
      </w:r>
    </w:p>
    <w:p>
      <w:pPr>
        <w:pStyle w:val="Heading1"/>
      </w:pPr>
      <w:r>
        <w:t>6. Package, build, payload totals, and prerequisites</w:t>
      </w:r>
    </w:p>
    <w:p>
      <w:pPr>
        <w:pStyle w:val="Heading2"/>
      </w:pPr>
      <w:r>
        <w:t>Package validity</w:t>
      </w:r>
    </w:p>
    <w:p>
      <w:pPr>
        <w:pStyle w:val="ListBullet"/>
        <w:spacing w:after="40"/>
      </w:pPr>
      <w:r>
        <w:t>For a General Availability release, package_stage must be GA Public. Release Candidate, Superseded GA, Maintenance, and future packages are not compatible.</w:t>
      </w:r>
    </w:p>
    <w:p>
      <w:pPr>
        <w:pStyle w:val="ListBullet"/>
        <w:spacing w:after="40"/>
      </w:pPr>
      <w:r>
        <w:t>Product, semantic version, resolved channel, signing state, validation state, publication time, and retirement time must all pass.</w:t>
      </w:r>
    </w:p>
    <w:p>
      <w:pPr>
        <w:pStyle w:val="ListBullet"/>
        <w:spacing w:after="40"/>
      </w:pPr>
      <w:r>
        <w:t>Platform, minimum system, architecture, installer type, build number, and base payload values must come from the same selected package row.</w:t>
      </w:r>
    </w:p>
    <w:p>
      <w:pPr>
        <w:pStyle w:val="Heading2"/>
      </w:pPr>
      <w:r>
        <w:t>Customer payload calculations</w:t>
      </w:r>
    </w:p>
    <w:p>
      <w:pPr>
        <w:pStyle w:val="ListBullet"/>
        <w:spacing w:after="40"/>
      </w:pPr>
      <w:r>
        <w:t>Clean-install size = base_installer_mb plus full_size_mb for each current component that is Public, Mandatory, not bundled in base, validated, platform-matching, effective, unexpired, and locale_scope all.</w:t>
      </w:r>
    </w:p>
    <w:p>
      <w:pPr>
        <w:pStyle w:val="ListBullet"/>
        <w:spacing w:after="40"/>
      </w:pPr>
      <w:r>
        <w:t>Update payload = base_delta_mb plus delta_size_mb for that same component set.</w:t>
      </w:r>
    </w:p>
    <w:p>
      <w:pPr>
        <w:pStyle w:val="ListBullet"/>
        <w:spacing w:after="40"/>
      </w:pPr>
      <w:r>
        <w:t>Do not add optional packs, internal diagnostics, expired components, failed or pending components, bundled-in-base components, or locale-specific packs to the core published totals.</w:t>
      </w:r>
    </w:p>
    <w:p>
      <w:pPr>
        <w:pStyle w:val="Heading2"/>
      </w:pPr>
      <w:r>
        <w:t>Prerequisites and unsupported claims</w:t>
      </w:r>
    </w:p>
    <w:p>
      <w:pPr>
        <w:pStyle w:val="ListBullet"/>
        <w:spacing w:after="40"/>
      </w:pPr>
      <w:r>
        <w:t>Publish prerequisites from the selected deployment profile. Do not expose security_profile_code.</w:t>
      </w:r>
    </w:p>
    <w:p>
      <w:pPr>
        <w:pStyle w:val="ListBullet"/>
        <w:spacing w:after="40"/>
      </w:pPr>
      <w:r>
        <w:t>Do not imply Windows 10, macOS, Linux, ARM, Universal, 32-bit, EXE, or PKG compatibility when the selected package does not provide it.</w:t>
      </w:r>
    </w:p>
    <w:p>
      <w:r>
        <w:br w:type="page"/>
      </w:r>
    </w:p>
    <w:p>
      <w:pPr>
        <w:pStyle w:val="Heading1"/>
      </w:pPr>
      <w:r>
        <w:t>7. Public handoff requirements</w:t>
      </w:r>
    </w:p>
    <w:p>
      <w:pPr>
        <w:pStyle w:val="Heading2"/>
      </w:pPr>
      <w:r>
        <w:t>Required customer content</w:t>
      </w:r>
    </w:p>
    <w:p>
      <w:pPr>
        <w:pStyle w:val="ListBullet"/>
        <w:spacing w:after="40"/>
      </w:pPr>
      <w:r>
        <w:t>Product name, semantic version, and selected public build number.</w:t>
      </w:r>
    </w:p>
    <w:p>
      <w:pPr>
        <w:pStyle w:val="ListBullet"/>
        <w:spacing w:after="40"/>
      </w:pPr>
      <w:r>
        <w:t>Resolved release status, public channel, and release ring.</w:t>
      </w:r>
    </w:p>
    <w:p>
      <w:pPr>
        <w:pStyle w:val="ListBullet"/>
        <w:spacing w:after="40"/>
      </w:pPr>
      <w:r>
        <w:t>Default availability start, business-day duration, rollout end, default scope, and every active dated regional exception.</w:t>
      </w:r>
    </w:p>
    <w:p>
      <w:pPr>
        <w:pStyle w:val="ListBullet"/>
        <w:spacing w:after="40"/>
      </w:pPr>
      <w:r>
        <w:t>One valid headline, value line, and the complete ordered feature set from the selected copy bundle.</w:t>
      </w:r>
    </w:p>
    <w:p>
      <w:pPr>
        <w:pStyle w:val="ListBullet"/>
        <w:spacing w:after="40"/>
      </w:pPr>
      <w:r>
        <w:t>Complete eligible-plan set, deployment method, opt-in window, automatic-update date and UTC time.</w:t>
      </w:r>
    </w:p>
    <w:p>
      <w:pPr>
        <w:pStyle w:val="ListBullet"/>
        <w:spacing w:after="40"/>
      </w:pPr>
      <w:r>
        <w:t>Platform, minimum system, architecture, installer type, clean-install size, update payload, and prerequisites.</w:t>
      </w:r>
    </w:p>
    <w:p>
      <w:pPr>
        <w:pStyle w:val="ListBullet"/>
        <w:spacing w:after="40"/>
      </w:pPr>
      <w:r>
        <w:t>Complete current support destination and exact customer action label.</w:t>
      </w:r>
    </w:p>
    <w:p>
      <w:pPr>
        <w:pStyle w:val="Heading2"/>
      </w:pPr>
      <w:r>
        <w:t>Do not publish</w:t>
      </w:r>
    </w:p>
    <w:p>
      <w:pPr>
        <w:pStyle w:val="ListBullet"/>
        <w:spacing w:after="40"/>
      </w:pPr>
      <w:r>
        <w:t>Release IDs, change IDs, catalog codes, package codes, feature codes, revision numbers, approval events, decision states, timestamps, record owners, previous/proposed values, or the reasoning trail.</w:t>
      </w:r>
    </w:p>
    <w:p>
      <w:pPr>
        <w:pStyle w:val="ListBullet"/>
        <w:spacing w:after="40"/>
      </w:pPr>
      <w:r>
        <w:t>Obsolete baseline values, invalid newer candidates, other products, other versions, or alternative release states.</w:t>
      </w:r>
    </w:p>
    <w:p>
      <w:pPr>
        <w:pStyle w:val="ListBullet"/>
        <w:spacing w:after="40"/>
      </w:pPr>
      <w:r>
        <w:t>A shortened URL that changes the route, an approximate payload total, a paraphrased feature label, or a date without its required association.</w:t>
      </w:r>
    </w:p>
    <w:p>
      <w:pPr>
        <w:pStyle w:val="Heading2"/>
      </w:pPr>
      <w:r>
        <w:t>Final consistency check</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sz w:val="16"/>
              </w:rPr>
              <w:t>Area</w:t>
            </w:r>
          </w:p>
        </w:tc>
        <w:tc>
          <w:tcPr>
            <w:tcW w:type="dxa" w:w="5112"/>
            <w:shd w:fill="D9EAF7"/>
            <w:vAlign w:val="center"/>
          </w:tcPr>
          <w:p>
            <w:r>
              <w:rPr>
                <w:b/>
                <w:sz w:val="16"/>
              </w:rPr>
              <w:t>Consistency test</w:t>
            </w:r>
          </w:p>
        </w:tc>
      </w:tr>
      <w:tr>
        <w:tc>
          <w:tcPr>
            <w:tcW w:type="dxa" w:w="5112"/>
          </w:tcPr>
          <w:p>
            <w:r>
              <w:rPr>
                <w:sz w:val="15"/>
              </w:rPr>
              <w:t>Identity</w:t>
            </w:r>
          </w:p>
        </w:tc>
        <w:tc>
          <w:tcPr>
            <w:tcW w:type="dxa" w:w="5112"/>
          </w:tcPr>
          <w:p>
            <w:r>
              <w:rPr>
                <w:sz w:val="15"/>
              </w:rPr>
              <w:t>Product, version, build, status, channel, package stage, and ring describe one release.</w:t>
            </w:r>
          </w:p>
        </w:tc>
      </w:tr>
      <w:tr>
        <w:tc>
          <w:tcPr>
            <w:tcW w:type="dxa" w:w="5112"/>
          </w:tcPr>
          <w:p>
            <w:r>
              <w:rPr>
                <w:sz w:val="15"/>
              </w:rPr>
              <w:t>Timing</w:t>
            </w:r>
          </w:p>
        </w:tc>
        <w:tc>
          <w:tcPr>
            <w:tcW w:type="dxa" w:w="5112"/>
          </w:tcPr>
          <w:p>
            <w:r>
              <w:rPr>
                <w:sz w:val="15"/>
              </w:rPr>
              <w:t>Start, duration, end, regional exceptions, opt-in window, and automatic update are arithmetically consistent.</w:t>
            </w:r>
          </w:p>
        </w:tc>
      </w:tr>
      <w:tr>
        <w:tc>
          <w:tcPr>
            <w:tcW w:type="dxa" w:w="5112"/>
          </w:tcPr>
          <w:p>
            <w:r>
              <w:rPr>
                <w:sz w:val="15"/>
              </w:rPr>
              <w:t>Message</w:t>
            </w:r>
          </w:p>
        </w:tc>
        <w:tc>
          <w:tcPr>
            <w:tcW w:type="dxa" w:w="5112"/>
          </w:tcPr>
          <w:p>
            <w:r>
              <w:rPr>
                <w:sz w:val="15"/>
              </w:rPr>
              <w:t>Headline, value line, and every feature come from one valid bundle.</w:t>
            </w:r>
          </w:p>
        </w:tc>
      </w:tr>
      <w:tr>
        <w:tc>
          <w:tcPr>
            <w:tcW w:type="dxa" w:w="5112"/>
          </w:tcPr>
          <w:p>
            <w:r>
              <w:rPr>
                <w:sz w:val="15"/>
              </w:rPr>
              <w:t>Eligibility</w:t>
            </w:r>
          </w:p>
        </w:tc>
        <w:tc>
          <w:tcPr>
            <w:tcW w:type="dxa" w:w="5112"/>
          </w:tcPr>
          <w:p>
            <w:r>
              <w:rPr>
                <w:sz w:val="15"/>
              </w:rPr>
              <w:t>Every named plan is valid for the selected plan group; no denied or suspended plan is included.</w:t>
            </w:r>
          </w:p>
        </w:tc>
      </w:tr>
      <w:tr>
        <w:tc>
          <w:tcPr>
            <w:tcW w:type="dxa" w:w="5112"/>
          </w:tcPr>
          <w:p>
            <w:r>
              <w:rPr>
                <w:sz w:val="15"/>
              </w:rPr>
              <w:t>Payload</w:t>
            </w:r>
          </w:p>
        </w:tc>
        <w:tc>
          <w:tcPr>
            <w:tcW w:type="dxa" w:w="5112"/>
          </w:tcPr>
          <w:p>
            <w:r>
              <w:rPr>
                <w:sz w:val="15"/>
              </w:rPr>
              <w:t>Both totals use the selected package and exactly the valid mandatory external components.</w:t>
            </w:r>
          </w:p>
        </w:tc>
      </w:tr>
      <w:tr>
        <w:tc>
          <w:tcPr>
            <w:tcW w:type="dxa" w:w="5112"/>
          </w:tcPr>
          <w:p>
            <w:r>
              <w:rPr>
                <w:sz w:val="15"/>
              </w:rPr>
              <w:t>Action</w:t>
            </w:r>
          </w:p>
        </w:tc>
        <w:tc>
          <w:tcPr>
            <w:tcW w:type="dxa" w:w="5112"/>
          </w:tcPr>
          <w:p>
            <w:r>
              <w:rPr>
                <w:sz w:val="15"/>
              </w:rPr>
              <w:t>Destination and action label come from one current support route.</w:t>
            </w:r>
          </w:p>
        </w:tc>
      </w:tr>
      <w:tr>
        <w:tc>
          <w:tcPr>
            <w:tcW w:type="dxa" w:w="5112"/>
          </w:tcPr>
          <w:p>
            <w:r>
              <w:rPr>
                <w:sz w:val="15"/>
              </w:rPr>
              <w:t>Confidentiality</w:t>
            </w:r>
          </w:p>
        </w:tc>
        <w:tc>
          <w:tcPr>
            <w:tcW w:type="dxa" w:w="5112"/>
          </w:tcPr>
          <w:p>
            <w:r>
              <w:rPr>
                <w:sz w:val="15"/>
              </w:rPr>
              <w:t>No operational identifiers or discarded alternatives are visible.</w:t>
            </w:r>
          </w:p>
        </w:tc>
      </w:tr>
    </w:tbl>
    <w:p>
      <w:pPr>
        <w:spacing w:before="80" w:after="80"/>
        <w:ind w:left="288" w:right="288"/>
      </w:pPr>
      <w:r>
        <w:rPr>
          <w:i/>
          <w:color w:val="595959"/>
        </w:rPr>
        <w:t>The workbook intentionally contains large volumes of unrelated release activity and several plausible but invalid target candidates. Resolve the state from the rules; do not rely on row order, recency alone, or a single sheet.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