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OrbitDesk Sync 4.12</w:t>
        <w:br/>
        <w:t>Archived Release Brief</w:t>
      </w:r>
    </w:p>
    <w:p>
      <w:pPr>
        <w:jc w:val="center"/>
      </w:pPr>
      <w:r>
        <w:rPr>
          <w:i/>
          <w:sz w:val="22"/>
        </w:rPr>
        <w:t>Baseline revision 2 | Issued September 14, 2026 | Archived planning source</w:t>
      </w:r>
    </w:p>
    <w:p>
      <w:r>
        <w:t>This document preserves the launch baseline before servicing changes, telemetry corrections, policy overrides, package replacement, and later public-copy revisions. It is context only. The current governance note and operational workbook determine the state at a requested cutoff.</w:t>
      </w:r>
    </w:p>
    <w:p>
      <w:pPr>
        <w:pStyle w:val="Heading1"/>
      </w:pPr>
      <w:r>
        <w:t>Archived baseline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Archived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OrbitDesk Sync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4.12.0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Release 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General Availability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Channel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Public 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September 15,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Portfolio rollout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100% worldwide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Baseline build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ODS-WIN-412-GA2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Copy bundle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ODS-COPY-412-B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Eligibility policy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ELP-412-BASE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Issue pack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KI-412-A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Support route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SR-412-GA</w:t>
            </w:r>
          </w:p>
        </w:tc>
      </w:tr>
    </w:tbl>
    <w:p>
      <w:r>
        <w:t>Important: the portfolio percentage is a release-planning value. It is not a delivery-method telemetry result and must not be used as automatic-update coverage.</w:t>
      </w:r>
    </w:p>
    <w:p>
      <w:r>
        <w:br w:type="page"/>
      </w:r>
    </w:p>
    <w:p>
      <w:pPr>
        <w:pStyle w:val="Heading1"/>
      </w:pPr>
      <w:r>
        <w:t>Original launch narrative</w:t>
      </w:r>
    </w:p>
    <w:p>
      <w:r>
        <w:t>The baseline customer story was designed for first public availability. Later servicing evidence may replace any of these 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Content block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Archived wording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Headline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Stay current. Keep control.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Benefit 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Smaller transfers, steadier connections, recoverable uploads.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Highlight 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Delta sync engine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Highlight 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Metered network controls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Highlight 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Resilient background recovery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Check eligibility and install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Destination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support.orbitdesk.example/sync/4-12-ga</w:t>
            </w:r>
          </w:p>
        </w:tc>
      </w:tr>
    </w:tbl>
    <w:p>
      <w:pPr>
        <w:pStyle w:val="Heading2"/>
      </w:pPr>
      <w:r>
        <w:t>Archived claim boundaries</w:t>
      </w:r>
    </w:p>
    <w:p>
      <w:pPr>
        <w:pStyle w:val="ListBullet"/>
      </w:pPr>
      <w:r>
        <w:t>Do not claim instant recovery on every network.</w:t>
      </w:r>
    </w:p>
    <w:p>
      <w:pPr>
        <w:pStyle w:val="ListBullet"/>
      </w:pPr>
      <w:r>
        <w:t>Do not claim all devices are automatically eligible.</w:t>
      </w:r>
    </w:p>
    <w:p>
      <w:pPr>
        <w:pStyle w:val="ListBullet"/>
      </w:pPr>
      <w:r>
        <w:t>Do not equate public availability with full automatic delivery.</w:t>
      </w:r>
    </w:p>
    <w:p>
      <w:pPr>
        <w:pStyle w:val="ListBullet"/>
      </w:pPr>
      <w:r>
        <w:t>Do not advertise arm64 support unless a current published build proves it.</w:t>
      </w:r>
    </w:p>
    <w:p>
      <w:r>
        <w:br w:type="page"/>
      </w:r>
    </w:p>
    <w:p>
      <w:pPr>
        <w:pStyle w:val="Heading1"/>
      </w:pPr>
      <w:r>
        <w:t>Original compatibility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Package 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Archived GA2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Windows desktop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Minimum 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Windows 11 24H2 or later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x64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Full installer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195 MB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Update payload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54 MB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Build stage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General Availability</w:t>
            </w:r>
          </w:p>
        </w:tc>
      </w:tr>
    </w:tbl>
    <w:p>
      <w:r>
        <w:t>Servicing builds may change package sizes without changing the semantic product version. Current compatibility and both package sizes must come from one validated build and its manifest.</w:t>
      </w:r>
    </w:p>
    <w:p>
      <w:pPr>
        <w:pStyle w:val="Heading2"/>
      </w:pPr>
      <w:r>
        <w:t>Non-public implementation context</w:t>
      </w:r>
    </w:p>
    <w:p>
      <w:r>
        <w:t>Internal build identifiers, service branches, manifest composition, checksums, signing actions, and component lineage are not customer-facing content. Use them only to resolve the correct public package facts.</w:t>
      </w:r>
    </w:p>
    <w:p>
      <w:r>
        <w:br w:type="page"/>
      </w:r>
    </w:p>
    <w:p>
      <w:pPr>
        <w:pStyle w:val="Heading1"/>
      </w:pPr>
      <w:r>
        <w:t>Original rollout and eligibility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Archived assumption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Manual download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Available worldwide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Automatic update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Initial portfolio target: 100%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Legacy proxy cohort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Monitor first sign-in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Regulated tenants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No separate regional delay planned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Japan unattended devices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General automatic eligibility planned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Manual installer</w:t>
            </w:r>
          </w:p>
        </w:tc>
      </w:tr>
    </w:tbl>
    <w:p>
      <w:r>
        <w:t>These assumptions predate method-specific final production snapshots, regional telemetry corrections, and approved cohort decisions. A later specific customer qualification overrides a general allowed rule for the same method.</w:t>
      </w:r>
    </w:p>
    <w:p>
      <w:r>
        <w:br w:type="page"/>
      </w:r>
    </w:p>
    <w:p>
      <w:pPr>
        <w:pStyle w:val="Heading1"/>
      </w:pPr>
      <w:r>
        <w:t>Archived issue and support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 in this archive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Issue 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Published at GA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Legacy proxy authentication can delay first sign-in after update.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Issue 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Draft 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 metered connection may pause background 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Issue 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Rejected 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 known issues.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Support route 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Published at GA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support.orbitdesk.example/sync/4-12-ga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Support route 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Planning 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support.orbitdesk.example/sync/4-12-servicing</w:t>
            </w:r>
          </w:p>
        </w:tc>
      </w:tr>
    </w:tbl>
    <w:p>
      <w:r>
        <w:t>The current issue pack and support route must be validated through their catalogs. A later change request does not make a draft issue or scheduled route publishable.</w:t>
      </w:r>
    </w:p>
    <w:p>
      <w:r>
        <w:br w:type="page"/>
      </w:r>
    </w:p>
    <w:p>
      <w:pPr>
        <w:pStyle w:val="Heading1"/>
      </w:pPr>
      <w:r>
        <w:t>Resolution workflow retained for context</w:t>
      </w:r>
    </w:p>
    <w:p>
      <w:r>
        <w:t>1. Start with the release portfolio baseline.</w:t>
      </w:r>
    </w:p>
    <w:p>
      <w:r>
        <w:t>2. Evaluate eligible field changes at the cutoff.</w:t>
      </w:r>
    </w:p>
    <w:p>
      <w:r>
        <w:t>3. Validate code-valued candidates through their catalogs and fall back when invalid.</w:t>
      </w:r>
    </w:p>
    <w:p>
      <w:r>
        <w:t>4. Resolve method-specific production distribution and approved corrections.</w:t>
      </w:r>
    </w:p>
    <w:p>
      <w:r>
        <w:t>5. Apply the selected policy and publish every active non-general qualification.</w:t>
      </w:r>
    </w:p>
    <w:p>
      <w:r>
        <w:t>6. Validate the copy bundle, build manifest, issue pack, support route, and stage rule.</w:t>
      </w:r>
    </w:p>
    <w:p>
      <w:r>
        <w:t>7. Publish one customer-facing state without internal workflow evidence.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Using the newest proposed code without validating its catalog prerequisites.</w:t>
      </w:r>
    </w:p>
    <w:p>
      <w:pPr>
        <w:pStyle w:val="ListBullet"/>
      </w:pPr>
      <w:r>
        <w:t>Averaging regional percentages instead of weighting delivered and eligible counts.</w:t>
      </w:r>
    </w:p>
    <w:p>
      <w:pPr>
        <w:pStyle w:val="ListBullet"/>
      </w:pPr>
      <w:r>
        <w:t>Using a future correction because its value looks more complete.</w:t>
      </w:r>
    </w:p>
    <w:p>
      <w:pPr>
        <w:pStyle w:val="ListBullet"/>
      </w:pPr>
      <w:r>
        <w:t>Omitting one active regional or cohort qualification.</w:t>
      </w:r>
    </w:p>
    <w:p>
      <w:pPr>
        <w:pStyle w:val="ListBullet"/>
      </w:pPr>
      <w:r>
        <w:t>Publishing only one issue when the selected pack contains two.</w:t>
      </w:r>
    </w:p>
    <w:p>
      <w:pPr>
        <w:pStyle w:val="ListBullet"/>
      </w:pPr>
      <w:r>
        <w:t>Showing internal codes to explain the resolution.</w:t>
      </w:r>
    </w:p>
    <w:p>
      <w:r>
        <w:t>For current work, the governance markdown is authoritative whenever it is more specific than this archived brief.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